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F7441" w14:textId="77777777" w:rsidR="00C813F8" w:rsidRDefault="00000000">
      <w:pPr>
        <w:jc w:val="center"/>
        <w:rPr>
          <w:lang w:val="en-US"/>
        </w:rPr>
      </w:pPr>
      <w:r>
        <w:rPr>
          <w:rFonts w:ascii="Garamond" w:hAnsi="Garamond" w:cs="Garamond"/>
          <w:b/>
          <w:bCs/>
          <w:szCs w:val="24"/>
        </w:rPr>
        <w:t>Aspek Legalitas Perlindungan Cagar Budaya di Indonesia</w:t>
      </w:r>
    </w:p>
    <w:p w14:paraId="3DDB96BD" w14:textId="77777777" w:rsidR="00C813F8" w:rsidRDefault="00000000">
      <w:pPr>
        <w:pStyle w:val="Author"/>
        <w:jc w:val="both"/>
        <w:rPr>
          <w:vertAlign w:val="superscript"/>
        </w:rPr>
      </w:pPr>
      <w:r>
        <w:t>Martini</w:t>
      </w:r>
      <w:r>
        <w:rPr>
          <w:rFonts w:cs="Garamond"/>
        </w:rPr>
        <w:t>¹</w:t>
      </w:r>
      <w:r>
        <w:t>*</w:t>
      </w:r>
    </w:p>
    <w:p w14:paraId="2C32A22F" w14:textId="77777777" w:rsidR="00C813F8" w:rsidRDefault="00000000">
      <w:pPr>
        <w:pStyle w:val="Affiliasi"/>
        <w:rPr>
          <w:rFonts w:eastAsia="sans-serif" w:cs="Garamond"/>
          <w:szCs w:val="20"/>
          <w:shd w:val="clear" w:color="auto" w:fill="FFFFFF"/>
        </w:rPr>
      </w:pPr>
      <w:r>
        <w:rPr>
          <w:vertAlign w:val="superscript"/>
          <w:lang w:val="fi-FI"/>
        </w:rPr>
        <w:t>1</w:t>
      </w:r>
      <w:r>
        <w:rPr>
          <w:lang w:val="fi-FI"/>
        </w:rPr>
        <w:t xml:space="preserve"> Universitas Negeri </w:t>
      </w:r>
      <w:r>
        <w:t>Jakarta,</w:t>
      </w:r>
      <w:r>
        <w:rPr>
          <w:rFonts w:eastAsia="sans-serif" w:cs="Garamond"/>
          <w:szCs w:val="20"/>
          <w:shd w:val="clear" w:color="auto" w:fill="FFFFFF"/>
        </w:rPr>
        <w:t xml:space="preserve"> Jl. Rawamangun Muka Raya No. 11. Kota Jakarta Timur, DKI Jakarta13220.</w:t>
      </w:r>
    </w:p>
    <w:p w14:paraId="2D84B087" w14:textId="77777777" w:rsidR="00C813F8" w:rsidRDefault="00000000">
      <w:pPr>
        <w:pStyle w:val="Affiliasi"/>
        <w:rPr>
          <w:rFonts w:eastAsia="sans-serif" w:cs="Garamond"/>
          <w:szCs w:val="20"/>
          <w:shd w:val="clear" w:color="auto" w:fill="FFFFFF"/>
        </w:rPr>
      </w:pPr>
      <w:hyperlink r:id="rId8" w:history="1">
        <w:r>
          <w:rPr>
            <w:rStyle w:val="Hyperlink"/>
            <w:rFonts w:eastAsia="sans-serif" w:cs="Garamond"/>
            <w:szCs w:val="20"/>
            <w:shd w:val="clear" w:color="auto" w:fill="FFFFFF"/>
          </w:rPr>
          <w:t>*martini@unj.ac.id</w:t>
        </w:r>
      </w:hyperlink>
    </w:p>
    <w:p w14:paraId="56750182" w14:textId="77777777" w:rsidR="00C813F8" w:rsidRDefault="00C813F8">
      <w:pPr>
        <w:pStyle w:val="Affiliasi"/>
        <w:rPr>
          <w:rFonts w:eastAsia="sans-serif" w:cs="Garamond"/>
          <w:szCs w:val="20"/>
          <w:shd w:val="clear" w:color="auto" w:fill="FFFFFF"/>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237"/>
      </w:tblGrid>
      <w:tr w:rsidR="00C813F8" w14:paraId="34BA3F2F" w14:textId="77777777">
        <w:trPr>
          <w:trHeight w:val="1884"/>
        </w:trPr>
        <w:tc>
          <w:tcPr>
            <w:tcW w:w="2972" w:type="dxa"/>
          </w:tcPr>
          <w:p w14:paraId="61C7C997" w14:textId="77777777" w:rsidR="00C813F8" w:rsidRDefault="00000000">
            <w:pPr>
              <w:pStyle w:val="InformasiArikel"/>
              <w:spacing w:after="0" w:line="240" w:lineRule="auto"/>
              <w:rPr>
                <w:lang w:val="zh-CN"/>
              </w:rPr>
            </w:pPr>
            <w:r>
              <w:rPr>
                <w:lang w:val="zh-CN"/>
              </w:rPr>
              <w:t>Informasi Artikel</w:t>
            </w:r>
          </w:p>
          <w:p w14:paraId="488D9F3D" w14:textId="77777777" w:rsidR="00C813F8" w:rsidRDefault="00000000">
            <w:pPr>
              <w:pStyle w:val="InformasiArikel"/>
              <w:spacing w:after="0" w:line="240" w:lineRule="auto"/>
              <w:rPr>
                <w:lang w:val="zh-CN"/>
              </w:rPr>
            </w:pPr>
            <w:r>
              <w:rPr>
                <w:lang w:val="zh-CN"/>
              </w:rPr>
              <w:t xml:space="preserve">Received: </w:t>
            </w:r>
          </w:p>
          <w:p w14:paraId="7C22CAE3" w14:textId="77777777" w:rsidR="00C813F8" w:rsidRDefault="00000000">
            <w:pPr>
              <w:pStyle w:val="InformasiArikel"/>
              <w:spacing w:after="0" w:line="240" w:lineRule="auto"/>
              <w:rPr>
                <w:b w:val="0"/>
                <w:bCs w:val="0"/>
                <w:lang w:val="en-US"/>
              </w:rPr>
            </w:pPr>
            <w:r>
              <w:rPr>
                <w:b w:val="0"/>
                <w:bCs w:val="0"/>
                <w:lang w:val="en-US"/>
              </w:rPr>
              <w:t>20</w:t>
            </w:r>
            <w:r>
              <w:rPr>
                <w:b w:val="0"/>
                <w:bCs w:val="0"/>
                <w:lang w:val="zh-CN"/>
              </w:rPr>
              <w:t>/</w:t>
            </w:r>
            <w:r>
              <w:rPr>
                <w:b w:val="0"/>
                <w:bCs w:val="0"/>
                <w:lang w:val="en-US"/>
              </w:rPr>
              <w:t>10</w:t>
            </w:r>
            <w:r>
              <w:rPr>
                <w:b w:val="0"/>
                <w:bCs w:val="0"/>
                <w:lang w:val="zh-CN"/>
              </w:rPr>
              <w:t>/</w:t>
            </w:r>
            <w:r>
              <w:rPr>
                <w:b w:val="0"/>
                <w:bCs w:val="0"/>
                <w:lang w:val="en-US"/>
              </w:rPr>
              <w:t>2025</w:t>
            </w:r>
          </w:p>
          <w:p w14:paraId="5DCE5D99" w14:textId="77777777" w:rsidR="00C813F8" w:rsidRDefault="00000000">
            <w:pPr>
              <w:pStyle w:val="InformasiArikel"/>
              <w:spacing w:after="0" w:line="240" w:lineRule="auto"/>
              <w:rPr>
                <w:lang w:val="zh-CN"/>
              </w:rPr>
            </w:pPr>
            <w:r>
              <w:rPr>
                <w:lang w:val="zh-CN"/>
              </w:rPr>
              <w:t>Accepted:</w:t>
            </w:r>
          </w:p>
          <w:p w14:paraId="50E9AF97" w14:textId="2613D466" w:rsidR="00C813F8" w:rsidRDefault="00000000">
            <w:pPr>
              <w:pStyle w:val="InformasiArikel"/>
              <w:spacing w:after="0" w:line="240" w:lineRule="auto"/>
              <w:rPr>
                <w:lang w:val="en-US"/>
              </w:rPr>
            </w:pPr>
            <w:r>
              <w:rPr>
                <w:b w:val="0"/>
                <w:bCs w:val="0"/>
                <w:lang w:val="en-US"/>
              </w:rPr>
              <w:t>2</w:t>
            </w:r>
            <w:r w:rsidR="003F2003">
              <w:rPr>
                <w:b w:val="0"/>
                <w:bCs w:val="0"/>
                <w:lang w:val="en-US"/>
              </w:rPr>
              <w:t>9</w:t>
            </w:r>
            <w:r>
              <w:rPr>
                <w:b w:val="0"/>
                <w:bCs w:val="0"/>
                <w:lang w:val="en-US"/>
              </w:rPr>
              <w:t>/1</w:t>
            </w:r>
            <w:r w:rsidR="003F2003">
              <w:rPr>
                <w:b w:val="0"/>
                <w:bCs w:val="0"/>
                <w:lang w:val="en-US"/>
              </w:rPr>
              <w:t>0</w:t>
            </w:r>
            <w:r>
              <w:rPr>
                <w:b w:val="0"/>
                <w:bCs w:val="0"/>
                <w:lang w:val="en-US"/>
              </w:rPr>
              <w:t>/2025</w:t>
            </w:r>
          </w:p>
        </w:tc>
        <w:tc>
          <w:tcPr>
            <w:tcW w:w="6237" w:type="dxa"/>
          </w:tcPr>
          <w:p w14:paraId="30021B1C" w14:textId="77777777" w:rsidR="00C813F8" w:rsidRDefault="00000000">
            <w:pPr>
              <w:pStyle w:val="Sistematika"/>
              <w:spacing w:before="0" w:beforeAutospacing="0" w:after="0"/>
              <w:rPr>
                <w:b w:val="0"/>
                <w:bCs w:val="0"/>
                <w:color w:val="FF0000"/>
                <w:lang w:val="fi-FI"/>
              </w:rPr>
            </w:pPr>
            <w:r>
              <w:rPr>
                <w:lang w:val="sv-SE"/>
              </w:rPr>
              <w:t>ABSTRAK</w:t>
            </w:r>
            <w:r>
              <w:rPr>
                <w:i/>
                <w:iCs/>
                <w:lang w:val="sv-SE"/>
              </w:rPr>
              <w:t xml:space="preserve"> </w:t>
            </w:r>
          </w:p>
          <w:p w14:paraId="5BD6C02F" w14:textId="77777777" w:rsidR="00C813F8" w:rsidRDefault="00000000">
            <w:pPr>
              <w:jc w:val="both"/>
              <w:rPr>
                <w:rFonts w:ascii="Garamond" w:hAnsi="Garamond" w:cs="Garamond"/>
                <w:i/>
                <w:iCs/>
                <w:sz w:val="22"/>
                <w:lang w:eastAsia="id-ID"/>
              </w:rPr>
            </w:pPr>
            <w:r>
              <w:rPr>
                <w:rFonts w:ascii="Garamond" w:hAnsi="Garamond" w:cs="Garamond"/>
                <w:i/>
                <w:iCs/>
                <w:sz w:val="22"/>
              </w:rPr>
              <w:t>Aspek Legalitas perlindungan cagar budaya di Indonesia ditandai dengan terbitnya Monumenten Ordonnantie tahun 1931. Kemudian berselang empat bulan setelah diterbitkan MO ini, terbit pula Piagam Athena yang merupakan tonggak sejarah kolaborasi global dalam upaya pelestarian cagar budaya dalam dunia luas. Dari kurun waktu satu abad pengelolaan cagar budaya budaya di Indonesia cukup banyak tantangan, hambatan dan perubahan. Namun hingga saat ini, aspek hukum dalam perlindungan dan pengelolaan cagar budaya budaya di Indonesia masih kurang memadai, seringkali kurang sesuai dengan perkembangan pelestarian ditingkat internasional. Studi ini bertujuan membuat kompilasi data legislasi yang berlaku saat ini terkait dengan perlindungan cagar budaya terutama Undang-undang No.11/2010 tentang cagar budaya, serta undang-undang lain yang terkait dengan perlindungan cagar budaya di Indonesia seperti Undang-undang No.2/2009 tentang Bangunan dan Gedung, Undang-undang Penataan Ruang No.2/2012, Undang-undang Lingkungan dan lain sebagainya. Selain itu, penelitian ini akan mendeskripsikan keterkaitan (kesinambungan) antar berbagai legislasi baik yang berlaku di Indonesia pada aspek pelaksanaan perlindungan dan pelestarian cagar budaya.  Studi ini akan membahas kronologi perkembangan aspek hukum dalam perlindungan dan pengelolaan cagar budaya di Indonesia dengan meninjau isi dan cakupannya,. Studi bersandar pada kajian literatur dan data-data sejarah dari berbagai macam sumber mengenai legislasi perlindungan cagar budaya di Indonesia saat ini. Diharapkan hasil dari studi ini dapat menjadi masukan bagi pemerintah dalam memperbaiki aspek legislasi dan pengelolaan cagar budaya di Indonesia saat ini.</w:t>
            </w:r>
          </w:p>
          <w:p w14:paraId="434B243E" w14:textId="5D099763" w:rsidR="00C813F8" w:rsidRPr="003F2003" w:rsidRDefault="00000000" w:rsidP="003F2003">
            <w:pPr>
              <w:rPr>
                <w:rFonts w:ascii="Garamond" w:hAnsi="Garamond" w:cs="Garamond"/>
                <w:b/>
                <w:i/>
                <w:iCs/>
                <w:sz w:val="22"/>
                <w:lang w:eastAsia="id-ID"/>
              </w:rPr>
            </w:pPr>
            <w:r>
              <w:rPr>
                <w:rFonts w:ascii="Garamond" w:hAnsi="Garamond" w:cs="Garamond"/>
                <w:b/>
                <w:i/>
                <w:iCs/>
                <w:sz w:val="22"/>
                <w:lang w:eastAsia="id-ID"/>
              </w:rPr>
              <w:t>Kata kunci: aspek legislasi, perlindungan cagar budaya, Indonesia</w:t>
            </w:r>
          </w:p>
        </w:tc>
      </w:tr>
    </w:tbl>
    <w:p w14:paraId="6816ADB0" w14:textId="77777777" w:rsidR="00C813F8" w:rsidRDefault="00C813F8">
      <w:pPr>
        <w:pStyle w:val="Sistematika"/>
        <w:spacing w:before="0" w:beforeAutospacing="0" w:after="0"/>
        <w:rPr>
          <w:b w:val="0"/>
          <w:bCs w:val="0"/>
          <w:szCs w:val="22"/>
        </w:rPr>
        <w:sectPr w:rsidR="00C813F8" w:rsidSect="003F2003">
          <w:headerReference w:type="even" r:id="rId9"/>
          <w:headerReference w:type="default" r:id="rId10"/>
          <w:footerReference w:type="even" r:id="rId11"/>
          <w:footerReference w:type="default" r:id="rId12"/>
          <w:headerReference w:type="first" r:id="rId13"/>
          <w:footerReference w:type="first" r:id="rId14"/>
          <w:pgSz w:w="11906" w:h="16838"/>
          <w:pgMar w:top="2880" w:right="1440" w:bottom="1440" w:left="1440" w:header="708" w:footer="708" w:gutter="0"/>
          <w:pgNumType w:start="29" w:chapStyle="1"/>
          <w:cols w:space="708"/>
          <w:docGrid w:linePitch="360"/>
        </w:sectPr>
      </w:pPr>
    </w:p>
    <w:p w14:paraId="49121AF2" w14:textId="77777777" w:rsidR="00C813F8" w:rsidRDefault="00C813F8">
      <w:pPr>
        <w:pStyle w:val="Sistematika"/>
        <w:spacing w:before="0" w:beforeAutospacing="0" w:after="0"/>
        <w:sectPr w:rsidR="00C813F8">
          <w:type w:val="continuous"/>
          <w:pgSz w:w="11906" w:h="16838"/>
          <w:pgMar w:top="1440" w:right="1440" w:bottom="1440" w:left="1440" w:header="708" w:footer="708" w:gutter="0"/>
          <w:cols w:num="2" w:space="708"/>
          <w:titlePg/>
          <w:docGrid w:linePitch="360"/>
        </w:sectPr>
      </w:pPr>
    </w:p>
    <w:p w14:paraId="3B115E84" w14:textId="77777777" w:rsidR="00C813F8" w:rsidRDefault="00C813F8">
      <w:pPr>
        <w:pStyle w:val="Heading1"/>
        <w:spacing w:line="240" w:lineRule="auto"/>
        <w:rPr>
          <w:sz w:val="22"/>
          <w:szCs w:val="22"/>
          <w:lang w:val="en-US"/>
        </w:rPr>
      </w:pPr>
    </w:p>
    <w:p w14:paraId="2463C15A" w14:textId="77777777" w:rsidR="00C813F8" w:rsidRDefault="00000000">
      <w:pPr>
        <w:pStyle w:val="Heading1"/>
        <w:spacing w:line="240" w:lineRule="auto"/>
        <w:rPr>
          <w:rFonts w:cs="Garamond"/>
          <w:sz w:val="22"/>
          <w:szCs w:val="22"/>
          <w:lang w:val="en-US"/>
        </w:rPr>
      </w:pPr>
      <w:r>
        <w:rPr>
          <w:sz w:val="22"/>
          <w:szCs w:val="22"/>
          <w:lang w:val="en-US"/>
        </w:rPr>
        <w:t>Pendahuluan</w:t>
      </w:r>
    </w:p>
    <w:p w14:paraId="21FD538B" w14:textId="77777777" w:rsidR="00C813F8" w:rsidRDefault="00C813F8">
      <w:pPr>
        <w:pStyle w:val="Heading1"/>
        <w:spacing w:line="240" w:lineRule="auto"/>
        <w:rPr>
          <w:rFonts w:cs="Garamond"/>
          <w:sz w:val="22"/>
          <w:szCs w:val="22"/>
        </w:rPr>
        <w:sectPr w:rsidR="00C813F8">
          <w:type w:val="continuous"/>
          <w:pgSz w:w="11906" w:h="16838"/>
          <w:pgMar w:top="2880" w:right="1440" w:bottom="1440" w:left="1440" w:header="708" w:footer="708" w:gutter="0"/>
          <w:cols w:space="708"/>
          <w:titlePg/>
          <w:docGrid w:linePitch="360"/>
        </w:sectPr>
      </w:pPr>
      <w:bookmarkStart w:id="0" w:name="_Hlk173953231"/>
    </w:p>
    <w:bookmarkEnd w:id="0"/>
    <w:p w14:paraId="0E7AB7AB" w14:textId="77777777" w:rsidR="00C813F8" w:rsidRDefault="00C813F8">
      <w:pPr>
        <w:spacing w:after="0" w:line="240" w:lineRule="auto"/>
        <w:ind w:firstLine="720"/>
        <w:jc w:val="both"/>
        <w:rPr>
          <w:rFonts w:ascii="Garamond" w:hAnsi="Garamond" w:cs="Garamond"/>
          <w:sz w:val="22"/>
        </w:rPr>
      </w:pPr>
    </w:p>
    <w:p w14:paraId="14E4C921" w14:textId="77777777" w:rsidR="00C813F8" w:rsidRDefault="00000000">
      <w:pPr>
        <w:spacing w:after="0" w:line="240" w:lineRule="auto"/>
        <w:ind w:firstLine="720"/>
        <w:jc w:val="both"/>
        <w:rPr>
          <w:rFonts w:ascii="Garamond" w:hAnsi="Garamond" w:cs="Garamond"/>
          <w:sz w:val="22"/>
        </w:rPr>
      </w:pPr>
      <w:r>
        <w:rPr>
          <w:rFonts w:ascii="Garamond" w:hAnsi="Garamond" w:cs="Garamond"/>
          <w:sz w:val="22"/>
        </w:rPr>
        <w:t xml:space="preserve">Dari kurun waktu satu abad pengelolaan cagar budaya  di Indonesia cukup banyak tantangan, hambatan dan perubahan. Melihat kembali sejarah perlindungan cagar budaya di Indonesia yang telah dimulai sejak pemerintahan Hindia Belanda dan perhatian terhadap cagar budaya semakin besar lalu pada tahun 1913 didirikan sebuah organisasi yang bertugas mengelola dan melestarikan cagar budaya dinamakan Dinas Kepurbakalaan pondasi perlindungan hukum terhadap cagar budaya  telah didirikan sejak berlakunya </w:t>
      </w:r>
      <w:r>
        <w:rPr>
          <w:rFonts w:ascii="Garamond" w:hAnsi="Garamond" w:cs="Garamond"/>
          <w:i/>
          <w:sz w:val="22"/>
        </w:rPr>
        <w:t>Monumenten Ordonantie stbl</w:t>
      </w:r>
      <w:r>
        <w:rPr>
          <w:rFonts w:ascii="Garamond" w:hAnsi="Garamond" w:cs="Garamond"/>
          <w:sz w:val="22"/>
        </w:rPr>
        <w:t xml:space="preserve"> 238  1931. </w:t>
      </w:r>
    </w:p>
    <w:p w14:paraId="2804BEB2" w14:textId="77777777" w:rsidR="00C813F8" w:rsidRDefault="00000000">
      <w:pPr>
        <w:spacing w:after="0" w:line="240" w:lineRule="auto"/>
        <w:ind w:firstLine="720"/>
        <w:jc w:val="both"/>
        <w:rPr>
          <w:rFonts w:ascii="Garamond" w:hAnsi="Garamond" w:cs="Garamond"/>
          <w:sz w:val="22"/>
        </w:rPr>
      </w:pPr>
      <w:r>
        <w:rPr>
          <w:rFonts w:ascii="Garamond" w:hAnsi="Garamond" w:cs="Garamond"/>
          <w:sz w:val="22"/>
        </w:rPr>
        <w:t xml:space="preserve">Setelah kemerdekaan RI, MO Stbl 238 masih berlaku dengan beberapa penyesuaian terkait dengan struktur administrasi pemerintahan Indonesia yang baru terbentuk saat itu. Perlindungan cagar budaya di </w:t>
      </w:r>
      <w:r>
        <w:rPr>
          <w:rFonts w:ascii="Garamond" w:hAnsi="Garamond" w:cs="Garamond"/>
          <w:sz w:val="22"/>
        </w:rPr>
        <w:lastRenderedPageBreak/>
        <w:t>lingkungan perkotaan mulai diatur setelah terbitnya Undang-Undang Pembentukan Kota (</w:t>
      </w:r>
      <w:r>
        <w:rPr>
          <w:rFonts w:ascii="Garamond" w:hAnsi="Garamond" w:cs="Garamond"/>
          <w:i/>
          <w:sz w:val="22"/>
        </w:rPr>
        <w:t>SVO Ordonantie</w:t>
      </w:r>
      <w:r>
        <w:rPr>
          <w:rFonts w:ascii="Garamond" w:hAnsi="Garamond" w:cs="Garamond"/>
          <w:sz w:val="22"/>
        </w:rPr>
        <w:t xml:space="preserve">) pada tahun 1948 dan Undang-undang No.22 tahun 1948 tentang Pemerintahan Daerah. </w:t>
      </w:r>
    </w:p>
    <w:p w14:paraId="591485FC" w14:textId="77777777" w:rsidR="00C813F8" w:rsidRDefault="00000000">
      <w:pPr>
        <w:spacing w:after="0" w:line="240" w:lineRule="auto"/>
        <w:ind w:firstLine="720"/>
        <w:jc w:val="both"/>
        <w:rPr>
          <w:rFonts w:ascii="Garamond" w:hAnsi="Garamond" w:cs="Garamond"/>
          <w:sz w:val="22"/>
        </w:rPr>
      </w:pPr>
      <w:r>
        <w:rPr>
          <w:rFonts w:ascii="Garamond" w:hAnsi="Garamond" w:cs="Garamond"/>
          <w:sz w:val="22"/>
        </w:rPr>
        <w:t>Merujuk kepada kategorisasi cagar budaya hampir tidak ada perubahan yang berarti dalam substansinya antara MO stbl 238 tahun 1931 dengan Undang-Undang No.5 tahun 1992 tentang Benda Cagar Budaya. Keduanya masih menjadi fokus adalah warisan budaya berwujud (</w:t>
      </w:r>
      <w:r>
        <w:rPr>
          <w:rFonts w:ascii="Garamond" w:hAnsi="Garamond" w:cs="Garamond"/>
          <w:i/>
          <w:sz w:val="22"/>
        </w:rPr>
        <w:t>tangible heritage</w:t>
      </w:r>
      <w:r>
        <w:rPr>
          <w:rFonts w:ascii="Garamond" w:hAnsi="Garamond" w:cs="Garamond"/>
          <w:sz w:val="22"/>
        </w:rPr>
        <w:t>), baik</w:t>
      </w:r>
      <w:r>
        <w:rPr>
          <w:rFonts w:ascii="Garamond" w:hAnsi="Garamond" w:cs="Garamond"/>
          <w:i/>
          <w:sz w:val="22"/>
        </w:rPr>
        <w:t xml:space="preserve"> single</w:t>
      </w:r>
      <w:r>
        <w:rPr>
          <w:rFonts w:ascii="Garamond" w:hAnsi="Garamond" w:cs="Garamond"/>
          <w:sz w:val="22"/>
        </w:rPr>
        <w:t xml:space="preserve"> atau kelompok, bergerak atau tidak bergerak yang memiliki umur sekurang-kurangnya 50 tahun dan memiliki penting bagi prasejarah, sejarah dan seni. nilai bagi ilmu pengetahuan. Merujuk kepada kedua undang-undang tersebut, belum tercakupPemerintah Indonesia pada akhir tahun 2010 menerbitkan satu undang-undang baru tentang cagar budaya  dinamakan Undang-undang No.11 Tahun 2010 tentang Cagar Budaya. Dalam undang-undang ini telah diperbaiki beberapa kategori cagar budaya dan akan dijelaskan pada bagian selanjutnya. </w:t>
      </w:r>
    </w:p>
    <w:p w14:paraId="0364EDCA" w14:textId="77777777" w:rsidR="00C813F8" w:rsidRDefault="00000000">
      <w:pPr>
        <w:spacing w:after="0" w:line="240" w:lineRule="auto"/>
        <w:ind w:firstLine="720"/>
        <w:jc w:val="both"/>
        <w:rPr>
          <w:rFonts w:ascii="Garamond" w:hAnsi="Garamond" w:cs="Garamond"/>
          <w:sz w:val="22"/>
        </w:rPr>
      </w:pPr>
      <w:r>
        <w:rPr>
          <w:rFonts w:ascii="Garamond" w:hAnsi="Garamond" w:cs="Garamond"/>
          <w:sz w:val="22"/>
        </w:rPr>
        <w:t>Namun hingga saat ini, aspek hukum dalam perlindungan dan pengelolaan cagar budaya di Indonesia masih kurang memadai, seringkali kurang sesuai dengan perkembangan pelestarian di tingkat internasional. Studi ini mendeskripsikan berbagai legislasi yang berkaitan dengan perlindungan cagar budaya terutama Undang-Undang No.11 tahun 2010 tentang Cagar Budaya, serta undang-undang lain yang terkait dengan perlindungan cagar budaya di Indonesia seperti Undang-undang No.28 tahun 2002 tentang Bangunan dan Gedung, Undang-undang No.26 tahun 2007 tentang Penataan Ruang, Undang-Undang No.32 tahun 2014 tentang Perlindungan dan Pengelolaan Lingkungan dan lain sebagainya. Selain itu, penelitian ini akan mendeskripsikan sinkronisasi antar undang-undang yang terkait dengan perlindungan dan pelestarian cagar budaya di Indonesia yang berlaku saat ini. Sebelumnya, pada permulaan studi akan membahas kronologi perkembangan aspek hukum dalam perlindungan dan pengelolaan cagar budaya di Indonesia dengan meninjau isi dan cakupannya, serta kaitannya dan kedudukannya dengan perkembangan legislasi dan panduan yang berkembang di tingkat global. Studi bersandar pada kajian literatur dan data-data sejarah dari berbagai macam sumber mengenai legislasi perlindungan cagar budaya di Indonesia saat ini. Diharapkan hasil dari studi ini dapat menjadi masukan bagi pemerintah dalam memperbaiki aspek legsilasi terhadap perlindungan dan pelestarian cagar budaya di Indonesia saat ini.</w:t>
      </w:r>
    </w:p>
    <w:p w14:paraId="52031EAC" w14:textId="77777777" w:rsidR="00C813F8" w:rsidRDefault="00000000">
      <w:pPr>
        <w:spacing w:after="0" w:line="240" w:lineRule="auto"/>
        <w:ind w:firstLine="720"/>
        <w:jc w:val="both"/>
        <w:rPr>
          <w:rFonts w:ascii="Garamond" w:hAnsi="Garamond" w:cs="Garamond"/>
          <w:sz w:val="22"/>
          <w:lang w:val="en-US"/>
        </w:rPr>
      </w:pPr>
      <w:r>
        <w:rPr>
          <w:rFonts w:ascii="Garamond" w:hAnsi="Garamond" w:cs="Garamond"/>
          <w:sz w:val="22"/>
        </w:rPr>
        <w:t>Berdasarkan uraian pada bagian  maka pembatasan masalah dalam penelitian ini adalah</w:t>
      </w:r>
      <w:r>
        <w:rPr>
          <w:rFonts w:ascii="Garamond" w:hAnsi="Garamond" w:cs="Garamond"/>
          <w:sz w:val="22"/>
          <w:lang w:val="en-US"/>
        </w:rPr>
        <w:t xml:space="preserve"> : a</w:t>
      </w:r>
      <w:r>
        <w:rPr>
          <w:rFonts w:ascii="Garamond" w:hAnsi="Garamond" w:cs="Garamond"/>
          <w:sz w:val="22"/>
        </w:rPr>
        <w:t>pakah materi Undang-Undang No 11 tahun 2010 tentang  Cagar Budaya  telah mengakomodasi prinsip, kategori dan permasalahan perlindungan dan pelestarian cagar budaya di Indonesia?</w:t>
      </w:r>
      <w:r>
        <w:rPr>
          <w:rFonts w:ascii="Garamond" w:hAnsi="Garamond" w:cs="Garamond"/>
          <w:sz w:val="22"/>
          <w:lang w:val="en-US"/>
        </w:rPr>
        <w:t xml:space="preserve"> a</w:t>
      </w:r>
      <w:r>
        <w:rPr>
          <w:rFonts w:ascii="Garamond" w:hAnsi="Garamond" w:cs="Garamond"/>
          <w:sz w:val="22"/>
        </w:rPr>
        <w:t>pa sajakah undang-undang dan peraturan pemerintah yang terkait langsung dengan perlindungan dan pelestarian cagar budaya di Indonesia Selain UU No.11 tahun 2010?</w:t>
      </w:r>
      <w:r>
        <w:rPr>
          <w:rFonts w:ascii="Garamond" w:hAnsi="Garamond" w:cs="Garamond"/>
          <w:sz w:val="22"/>
          <w:lang w:val="en-US"/>
        </w:rPr>
        <w:t xml:space="preserve"> b</w:t>
      </w:r>
      <w:r>
        <w:rPr>
          <w:rFonts w:ascii="Garamond" w:hAnsi="Garamond" w:cs="Garamond"/>
          <w:sz w:val="22"/>
        </w:rPr>
        <w:t>agaimana sinkronisasi antar undang-undang yang terkait dalam perlindungan dan pelestarian cagar budaya di Indonesia</w:t>
      </w:r>
      <w:r>
        <w:rPr>
          <w:rFonts w:ascii="Garamond" w:hAnsi="Garamond" w:cs="Garamond"/>
          <w:sz w:val="22"/>
          <w:lang w:val="en-US"/>
        </w:rPr>
        <w:t xml:space="preserve">. </w:t>
      </w:r>
    </w:p>
    <w:p w14:paraId="5CBC807A" w14:textId="77777777" w:rsidR="00C813F8" w:rsidRDefault="00C813F8">
      <w:pPr>
        <w:spacing w:after="0" w:line="240" w:lineRule="auto"/>
        <w:ind w:firstLine="720"/>
        <w:jc w:val="both"/>
        <w:rPr>
          <w:rFonts w:ascii="Garamond" w:hAnsi="Garamond" w:cs="Garamond"/>
          <w:sz w:val="22"/>
          <w:lang w:val="en-US"/>
        </w:rPr>
      </w:pPr>
    </w:p>
    <w:p w14:paraId="4699B9E9" w14:textId="77777777" w:rsidR="00C813F8" w:rsidRDefault="00C813F8">
      <w:pPr>
        <w:spacing w:after="0" w:line="240" w:lineRule="auto"/>
        <w:ind w:firstLine="720"/>
        <w:jc w:val="both"/>
        <w:rPr>
          <w:rFonts w:ascii="Garamond" w:hAnsi="Garamond" w:cs="Garamond"/>
          <w:sz w:val="22"/>
          <w:lang w:val="en-US"/>
        </w:rPr>
      </w:pPr>
    </w:p>
    <w:p w14:paraId="6727BEAD" w14:textId="77777777" w:rsidR="00C813F8" w:rsidRDefault="00C813F8">
      <w:pPr>
        <w:pStyle w:val="Paragraph"/>
        <w:rPr>
          <w:lang w:val="id-ID"/>
        </w:rPr>
      </w:pPr>
    </w:p>
    <w:p w14:paraId="7ACAE124" w14:textId="77777777" w:rsidR="00C813F8" w:rsidRDefault="00000000">
      <w:pPr>
        <w:spacing w:after="0" w:line="240" w:lineRule="auto"/>
        <w:jc w:val="both"/>
        <w:outlineLvl w:val="1"/>
        <w:rPr>
          <w:rFonts w:ascii="Garamond" w:eastAsia="Times New Roman" w:hAnsi="Garamond" w:cs="Garamond"/>
          <w:b/>
          <w:bCs/>
          <w:sz w:val="22"/>
        </w:rPr>
      </w:pPr>
      <w:r>
        <w:rPr>
          <w:rFonts w:ascii="Garamond" w:eastAsia="Times New Roman" w:hAnsi="Garamond" w:cs="Garamond"/>
          <w:b/>
          <w:bCs/>
          <w:sz w:val="22"/>
        </w:rPr>
        <w:t>Metode Penelitian</w:t>
      </w:r>
    </w:p>
    <w:p w14:paraId="542C0A4D" w14:textId="77777777" w:rsidR="00C813F8" w:rsidRDefault="00C813F8">
      <w:pPr>
        <w:spacing w:after="0" w:line="240" w:lineRule="auto"/>
        <w:ind w:firstLine="851"/>
        <w:jc w:val="both"/>
        <w:rPr>
          <w:rFonts w:ascii="Garamond" w:eastAsia="Times New Roman" w:hAnsi="Garamond" w:cs="Garamond"/>
          <w:sz w:val="22"/>
        </w:rPr>
      </w:pPr>
    </w:p>
    <w:p w14:paraId="38941F4A" w14:textId="77777777" w:rsidR="00C813F8" w:rsidRDefault="00000000">
      <w:pPr>
        <w:pStyle w:val="ListParagraph"/>
        <w:spacing w:after="0" w:line="240" w:lineRule="auto"/>
        <w:ind w:left="0" w:firstLine="720"/>
        <w:jc w:val="both"/>
        <w:rPr>
          <w:rFonts w:ascii="Garamond" w:hAnsi="Garamond" w:cs="Garamond"/>
          <w:sz w:val="22"/>
        </w:rPr>
      </w:pPr>
      <w:r>
        <w:rPr>
          <w:rFonts w:ascii="Garamond" w:hAnsi="Garamond" w:cs="Garamond"/>
          <w:sz w:val="22"/>
        </w:rPr>
        <w:t>Penelitian ini termasuk penelitian kepustakaan (</w:t>
      </w:r>
      <w:r>
        <w:rPr>
          <w:rFonts w:ascii="Garamond" w:hAnsi="Garamond" w:cs="Garamond"/>
          <w:i/>
          <w:sz w:val="22"/>
        </w:rPr>
        <w:t>Library Research</w:t>
      </w:r>
      <w:r>
        <w:rPr>
          <w:rFonts w:ascii="Garamond" w:hAnsi="Garamond" w:cs="Garamond"/>
          <w:sz w:val="22"/>
        </w:rPr>
        <w:t>) sehingga dalam penelitian ini metode pengumpulan datanya dilakukan melalui penelusuran terhadap bahan-bahan pustaka yang menjadi sumber data.Sumber data tersebut berupa literatur yang terkait dengan substansi penelitian ini. Penelitian ini bersifat kualitatif dan deskriptif analitik dan juga komparatif, dengan melakukan kompilasi dan identifikasi secara kritis dan analitis melalui kajian gagasan primer mengenai suatu ruang lingkup permasalahan yang dipercayakan oleh gagasan sekunder yang relevan. Fokus gagasan penelitian analitis kritis adalah mendeskripsikan, membahas dan mengkritik gagasan primer yang lain dalam upaya melakukan studi yang berupa perbandingan, hubungan dan pengembangan model. proses klasifikasi undang-undang yang berlaku saat ini di Indonesia terkait dengan perlindungan cagar budaya</w:t>
      </w:r>
      <w:r>
        <w:rPr>
          <w:rFonts w:ascii="Garamond" w:hAnsi="Garamond" w:cs="Garamond"/>
          <w:sz w:val="22"/>
          <w:lang w:val="en-US"/>
        </w:rPr>
        <w:t>.</w:t>
      </w:r>
      <w:r>
        <w:rPr>
          <w:rFonts w:ascii="Garamond" w:hAnsi="Garamond" w:cs="Garamond"/>
          <w:sz w:val="22"/>
        </w:rPr>
        <w:t xml:space="preserve">  </w:t>
      </w:r>
    </w:p>
    <w:p w14:paraId="25812244" w14:textId="77777777" w:rsidR="00C813F8" w:rsidRDefault="00C813F8">
      <w:pPr>
        <w:pStyle w:val="Paragraph"/>
        <w:ind w:firstLine="0"/>
        <w:rPr>
          <w:lang w:val="id-ID"/>
        </w:rPr>
      </w:pPr>
    </w:p>
    <w:p w14:paraId="660C5003" w14:textId="77777777" w:rsidR="00C813F8" w:rsidRDefault="00C813F8">
      <w:pPr>
        <w:pStyle w:val="Paragraph"/>
        <w:rPr>
          <w:b/>
          <w:lang w:val="sv-SE"/>
        </w:rPr>
      </w:pPr>
    </w:p>
    <w:p w14:paraId="01665D9B" w14:textId="77777777" w:rsidR="00C813F8" w:rsidRDefault="00000000">
      <w:pPr>
        <w:pStyle w:val="Paragraph"/>
        <w:ind w:firstLine="0"/>
        <w:rPr>
          <w:rFonts w:cs="Garamond"/>
          <w:b/>
        </w:rPr>
      </w:pPr>
      <w:r>
        <w:rPr>
          <w:rFonts w:cs="Garamond"/>
          <w:b/>
        </w:rPr>
        <w:t>Hasil dan Pembahasan</w:t>
      </w:r>
    </w:p>
    <w:p w14:paraId="4F21C6F8" w14:textId="77777777" w:rsidR="00C813F8" w:rsidRDefault="00C813F8">
      <w:pPr>
        <w:pStyle w:val="Heading3"/>
        <w:spacing w:before="0" w:line="240" w:lineRule="auto"/>
        <w:jc w:val="both"/>
        <w:rPr>
          <w:rStyle w:val="Strong"/>
          <w:rFonts w:ascii="Garamond" w:hAnsi="Garamond" w:cs="Garamond"/>
          <w:color w:val="auto"/>
          <w:sz w:val="22"/>
          <w:szCs w:val="22"/>
        </w:rPr>
      </w:pPr>
    </w:p>
    <w:p w14:paraId="5DDAF2C2" w14:textId="77777777" w:rsidR="00C813F8" w:rsidRDefault="00000000">
      <w:pPr>
        <w:spacing w:after="0" w:line="240" w:lineRule="auto"/>
        <w:ind w:firstLine="720"/>
        <w:jc w:val="both"/>
        <w:rPr>
          <w:rFonts w:ascii="Garamond" w:hAnsi="Garamond" w:cs="Garamond"/>
          <w:color w:val="000000"/>
          <w:sz w:val="20"/>
          <w:szCs w:val="20"/>
          <w:lang w:val="en-US"/>
        </w:rPr>
      </w:pPr>
      <w:r>
        <w:rPr>
          <w:rFonts w:ascii="Garamond" w:hAnsi="Garamond" w:cs="Garamond"/>
          <w:color w:val="000000"/>
          <w:sz w:val="22"/>
        </w:rPr>
        <w:t xml:space="preserve">Dari masa pemerintahan Hindia Belanda hingga pemerintahan saat ini terdapat tiga      undang-undang yang mengatur tentang perlindungan dan pelestarian cagar budaya  1di Indonesia yaitu MO Stbl 238 tahun 1931, Undang-undang Benda Cagar Budaya No.5 tahun 1992 dan Undang-Undang No.11 tahun </w:t>
      </w:r>
      <w:r>
        <w:rPr>
          <w:rFonts w:ascii="Garamond" w:hAnsi="Garamond" w:cs="Garamond"/>
          <w:color w:val="000000"/>
          <w:sz w:val="22"/>
        </w:rPr>
        <w:lastRenderedPageBreak/>
        <w:t>2010. Untuk perbandingan isi dan konsep ketiga undang-undang tersebut dapat dilihat dalam tabel berikut dibawah ini</w:t>
      </w:r>
      <w:r>
        <w:rPr>
          <w:rFonts w:ascii="Garamond" w:hAnsi="Garamond" w:cs="Garamond"/>
          <w:color w:val="000000"/>
          <w:sz w:val="22"/>
          <w:lang w:val="en-US"/>
        </w:rPr>
        <w:t xml:space="preserve"> :</w:t>
      </w:r>
    </w:p>
    <w:p w14:paraId="339FD98A" w14:textId="77777777" w:rsidR="00C813F8" w:rsidRDefault="00C813F8">
      <w:pPr>
        <w:spacing w:after="0" w:line="240" w:lineRule="auto"/>
        <w:ind w:firstLine="720"/>
        <w:jc w:val="both"/>
        <w:rPr>
          <w:rFonts w:ascii="Garamond" w:hAnsi="Garamond" w:cs="Garamond"/>
          <w:color w:val="000000"/>
          <w:sz w:val="20"/>
          <w:szCs w:val="20"/>
        </w:rPr>
      </w:pPr>
    </w:p>
    <w:p w14:paraId="16694D8A" w14:textId="77777777" w:rsidR="00C813F8" w:rsidRDefault="00000000">
      <w:pPr>
        <w:spacing w:after="0" w:line="240" w:lineRule="auto"/>
        <w:ind w:firstLine="720"/>
        <w:jc w:val="center"/>
        <w:rPr>
          <w:rFonts w:ascii="Garamond" w:hAnsi="Garamond" w:cs="Garamond"/>
          <w:sz w:val="22"/>
        </w:rPr>
      </w:pPr>
      <w:r>
        <w:rPr>
          <w:rFonts w:ascii="Garamond" w:hAnsi="Garamond" w:cs="Garamond"/>
          <w:color w:val="000000"/>
          <w:sz w:val="20"/>
          <w:szCs w:val="20"/>
        </w:rPr>
        <w:t>Tabel 1 . Kronologi Undang-</w:t>
      </w:r>
      <w:r>
        <w:rPr>
          <w:rFonts w:ascii="Garamond" w:hAnsi="Garamond" w:cs="Garamond"/>
          <w:color w:val="000000"/>
          <w:sz w:val="20"/>
          <w:szCs w:val="20"/>
          <w:lang w:val="en-US"/>
        </w:rPr>
        <w:t>U</w:t>
      </w:r>
      <w:r>
        <w:rPr>
          <w:rFonts w:ascii="Garamond" w:hAnsi="Garamond" w:cs="Garamond"/>
          <w:color w:val="000000"/>
          <w:sz w:val="20"/>
          <w:szCs w:val="20"/>
        </w:rPr>
        <w:t>ndang tentang perlindungan cagar budaya di Indonesia sejak masa pemerintah Hindia Belanda</w:t>
      </w:r>
    </w:p>
    <w:tbl>
      <w:tblPr>
        <w:tblW w:w="8862" w:type="dxa"/>
        <w:jc w:val="center"/>
        <w:tblLayout w:type="fixed"/>
        <w:tblCellMar>
          <w:left w:w="0" w:type="dxa"/>
          <w:right w:w="0" w:type="dxa"/>
        </w:tblCellMar>
        <w:tblLook w:val="04A0" w:firstRow="1" w:lastRow="0" w:firstColumn="1" w:lastColumn="0" w:noHBand="0" w:noVBand="1"/>
      </w:tblPr>
      <w:tblGrid>
        <w:gridCol w:w="1916"/>
        <w:gridCol w:w="2268"/>
        <w:gridCol w:w="2268"/>
        <w:gridCol w:w="2410"/>
      </w:tblGrid>
      <w:tr w:rsidR="00C813F8" w14:paraId="25220CCD" w14:textId="77777777">
        <w:trPr>
          <w:trHeight w:val="659"/>
          <w:jc w:val="center"/>
        </w:trPr>
        <w:tc>
          <w:tcPr>
            <w:tcW w:w="1916" w:type="dxa"/>
            <w:tcBorders>
              <w:top w:val="single" w:sz="8" w:space="0" w:color="000000"/>
              <w:left w:val="single" w:sz="8" w:space="0" w:color="000000"/>
              <w:bottom w:val="single" w:sz="8" w:space="0" w:color="000000"/>
              <w:right w:val="single" w:sz="8" w:space="0" w:color="000000"/>
            </w:tcBorders>
            <w:shd w:val="clear" w:color="auto" w:fill="FFCC99"/>
            <w:tcMar>
              <w:top w:w="15" w:type="dxa"/>
              <w:left w:w="73" w:type="dxa"/>
              <w:bottom w:w="0" w:type="dxa"/>
              <w:right w:w="73" w:type="dxa"/>
            </w:tcMar>
          </w:tcPr>
          <w:p w14:paraId="60D068C5" w14:textId="77777777" w:rsidR="00C813F8" w:rsidRDefault="00C813F8">
            <w:pPr>
              <w:spacing w:after="0" w:line="240" w:lineRule="auto"/>
              <w:rPr>
                <w:rFonts w:ascii="Garamond" w:eastAsia="Times New Roman" w:hAnsi="Garamond" w:cs="Garamond"/>
                <w:b/>
                <w:sz w:val="20"/>
                <w:szCs w:val="20"/>
                <w:lang w:eastAsia="id-ID"/>
              </w:rPr>
            </w:pPr>
          </w:p>
        </w:tc>
        <w:tc>
          <w:tcPr>
            <w:tcW w:w="2268" w:type="dxa"/>
            <w:tcBorders>
              <w:top w:val="single" w:sz="8" w:space="0" w:color="000000"/>
              <w:left w:val="single" w:sz="8" w:space="0" w:color="000000"/>
              <w:bottom w:val="single" w:sz="8" w:space="0" w:color="000000"/>
              <w:right w:val="single" w:sz="8" w:space="0" w:color="000000"/>
            </w:tcBorders>
            <w:shd w:val="clear" w:color="auto" w:fill="FFCC99"/>
            <w:tcMar>
              <w:top w:w="15" w:type="dxa"/>
              <w:left w:w="73" w:type="dxa"/>
              <w:bottom w:w="0" w:type="dxa"/>
              <w:right w:w="73" w:type="dxa"/>
            </w:tcMar>
            <w:vAlign w:val="center"/>
          </w:tcPr>
          <w:p w14:paraId="36502BE7" w14:textId="77777777" w:rsidR="00C813F8" w:rsidRDefault="00000000">
            <w:pPr>
              <w:spacing w:after="0" w:line="240" w:lineRule="auto"/>
              <w:jc w:val="center"/>
              <w:rPr>
                <w:rFonts w:ascii="Garamond" w:eastAsia="Times New Roman" w:hAnsi="Garamond" w:cs="Garamond"/>
                <w:b/>
                <w:sz w:val="20"/>
                <w:szCs w:val="20"/>
                <w:lang w:eastAsia="id-ID"/>
              </w:rPr>
            </w:pPr>
            <w:r>
              <w:rPr>
                <w:rFonts w:ascii="Garamond" w:eastAsia="MS Mincho" w:hAnsi="Garamond" w:cs="Garamond"/>
                <w:b/>
                <w:bCs/>
                <w:kern w:val="24"/>
                <w:sz w:val="20"/>
                <w:szCs w:val="20"/>
                <w:lang w:eastAsia="id-ID"/>
              </w:rPr>
              <w:t>1931-1992</w:t>
            </w:r>
          </w:p>
        </w:tc>
        <w:tc>
          <w:tcPr>
            <w:tcW w:w="2268" w:type="dxa"/>
            <w:tcBorders>
              <w:top w:val="single" w:sz="8" w:space="0" w:color="000000"/>
              <w:left w:val="single" w:sz="8" w:space="0" w:color="000000"/>
              <w:bottom w:val="single" w:sz="8" w:space="0" w:color="000000"/>
              <w:right w:val="single" w:sz="8" w:space="0" w:color="000000"/>
            </w:tcBorders>
            <w:shd w:val="clear" w:color="auto" w:fill="FFCC99"/>
            <w:tcMar>
              <w:top w:w="15" w:type="dxa"/>
              <w:left w:w="73" w:type="dxa"/>
              <w:bottom w:w="0" w:type="dxa"/>
              <w:right w:w="73" w:type="dxa"/>
            </w:tcMar>
            <w:vAlign w:val="center"/>
          </w:tcPr>
          <w:p w14:paraId="3CB10AB2" w14:textId="77777777" w:rsidR="00C813F8" w:rsidRDefault="00000000">
            <w:pPr>
              <w:spacing w:after="0" w:line="240" w:lineRule="auto"/>
              <w:jc w:val="center"/>
              <w:rPr>
                <w:rFonts w:ascii="Garamond" w:eastAsia="Times New Roman" w:hAnsi="Garamond" w:cs="Garamond"/>
                <w:b/>
                <w:sz w:val="20"/>
                <w:szCs w:val="20"/>
                <w:lang w:eastAsia="id-ID"/>
              </w:rPr>
            </w:pPr>
            <w:r>
              <w:rPr>
                <w:rFonts w:ascii="Garamond" w:eastAsia="MS Mincho" w:hAnsi="Garamond" w:cs="Garamond"/>
                <w:b/>
                <w:bCs/>
                <w:kern w:val="24"/>
                <w:sz w:val="20"/>
                <w:szCs w:val="20"/>
                <w:lang w:eastAsia="id-ID"/>
              </w:rPr>
              <w:t>1992-2010</w:t>
            </w:r>
          </w:p>
        </w:tc>
        <w:tc>
          <w:tcPr>
            <w:tcW w:w="2410" w:type="dxa"/>
            <w:tcBorders>
              <w:top w:val="single" w:sz="8" w:space="0" w:color="000000"/>
              <w:left w:val="single" w:sz="8" w:space="0" w:color="000000"/>
              <w:bottom w:val="single" w:sz="8" w:space="0" w:color="000000"/>
              <w:right w:val="single" w:sz="8" w:space="0" w:color="000000"/>
            </w:tcBorders>
            <w:shd w:val="clear" w:color="auto" w:fill="FFCC99"/>
            <w:tcMar>
              <w:top w:w="15" w:type="dxa"/>
              <w:left w:w="73" w:type="dxa"/>
              <w:bottom w:w="0" w:type="dxa"/>
              <w:right w:w="73" w:type="dxa"/>
            </w:tcMar>
            <w:vAlign w:val="center"/>
          </w:tcPr>
          <w:p w14:paraId="6EF416F8" w14:textId="77777777" w:rsidR="00C813F8" w:rsidRDefault="00000000">
            <w:pPr>
              <w:spacing w:after="0" w:line="240" w:lineRule="auto"/>
              <w:jc w:val="center"/>
              <w:rPr>
                <w:rFonts w:ascii="Garamond" w:eastAsia="Times New Roman" w:hAnsi="Garamond" w:cs="Garamond"/>
                <w:b/>
                <w:sz w:val="20"/>
                <w:szCs w:val="20"/>
                <w:lang w:eastAsia="id-ID"/>
              </w:rPr>
            </w:pPr>
            <w:r>
              <w:rPr>
                <w:rFonts w:ascii="Garamond" w:eastAsia="MS Mincho" w:hAnsi="Garamond" w:cs="Garamond"/>
                <w:b/>
                <w:bCs/>
                <w:kern w:val="24"/>
                <w:sz w:val="20"/>
                <w:szCs w:val="20"/>
                <w:lang w:eastAsia="id-ID"/>
              </w:rPr>
              <w:t>2010 – Sekarang</w:t>
            </w:r>
          </w:p>
        </w:tc>
      </w:tr>
      <w:tr w:rsidR="00C813F8" w14:paraId="19A33F0F" w14:textId="77777777">
        <w:trPr>
          <w:trHeight w:val="840"/>
          <w:jc w:val="center"/>
        </w:trPr>
        <w:tc>
          <w:tcPr>
            <w:tcW w:w="1916" w:type="dxa"/>
            <w:tcBorders>
              <w:top w:val="single" w:sz="8" w:space="0" w:color="000000"/>
              <w:left w:val="single" w:sz="8" w:space="0" w:color="000000"/>
              <w:bottom w:val="single" w:sz="8" w:space="0" w:color="000000"/>
              <w:right w:val="single" w:sz="8" w:space="0" w:color="000000"/>
            </w:tcBorders>
            <w:shd w:val="clear" w:color="auto" w:fill="FFCC99"/>
            <w:tcMar>
              <w:top w:w="15" w:type="dxa"/>
              <w:left w:w="73" w:type="dxa"/>
              <w:bottom w:w="0" w:type="dxa"/>
              <w:right w:w="73" w:type="dxa"/>
            </w:tcMar>
          </w:tcPr>
          <w:p w14:paraId="2651CCBF" w14:textId="77777777" w:rsidR="00C813F8" w:rsidRDefault="00000000">
            <w:pPr>
              <w:spacing w:after="0" w:line="240" w:lineRule="auto"/>
              <w:rPr>
                <w:rFonts w:ascii="Garamond" w:eastAsia="Times New Roman" w:hAnsi="Garamond" w:cs="Garamond"/>
                <w:sz w:val="20"/>
                <w:szCs w:val="20"/>
                <w:lang w:eastAsia="id-ID"/>
              </w:rPr>
            </w:pPr>
            <w:r>
              <w:rPr>
                <w:rFonts w:ascii="Garamond" w:eastAsia="MS Mincho" w:hAnsi="Garamond" w:cs="Garamond"/>
                <w:b/>
                <w:bCs/>
                <w:color w:val="000000"/>
                <w:kern w:val="24"/>
                <w:sz w:val="20"/>
                <w:szCs w:val="20"/>
                <w:lang w:eastAsia="id-ID"/>
              </w:rPr>
              <w:t>Undang-undang</w:t>
            </w:r>
          </w:p>
        </w:tc>
        <w:tc>
          <w:tcPr>
            <w:tcW w:w="2268" w:type="dxa"/>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tcPr>
          <w:p w14:paraId="2B287EAD" w14:textId="77777777" w:rsidR="00C813F8" w:rsidRDefault="00000000">
            <w:pPr>
              <w:spacing w:after="0" w:line="240" w:lineRule="auto"/>
              <w:rPr>
                <w:rFonts w:ascii="Garamond" w:eastAsia="Times New Roman" w:hAnsi="Garamond" w:cs="Garamond"/>
                <w:sz w:val="20"/>
                <w:szCs w:val="20"/>
                <w:lang w:eastAsia="id-ID"/>
              </w:rPr>
            </w:pPr>
            <w:r>
              <w:rPr>
                <w:rFonts w:ascii="Garamond" w:eastAsia="MS Mincho" w:hAnsi="Garamond" w:cs="Garamond"/>
                <w:b/>
                <w:bCs/>
                <w:color w:val="000000"/>
                <w:kern w:val="24"/>
                <w:sz w:val="20"/>
                <w:szCs w:val="20"/>
                <w:lang w:eastAsia="id-ID"/>
              </w:rPr>
              <w:t>Monumenten Ordonantie</w:t>
            </w:r>
            <w:r>
              <w:rPr>
                <w:rFonts w:ascii="Garamond" w:eastAsia="Times New Roman" w:hAnsi="Garamond" w:cs="Garamond"/>
                <w:b/>
                <w:bCs/>
                <w:color w:val="000000"/>
                <w:kern w:val="24"/>
                <w:sz w:val="20"/>
                <w:szCs w:val="20"/>
                <w:lang w:eastAsia="id-ID"/>
              </w:rPr>
              <w:t>(MO)</w:t>
            </w:r>
          </w:p>
          <w:p w14:paraId="4B906AAB" w14:textId="77777777" w:rsidR="00C813F8" w:rsidRDefault="00000000">
            <w:pPr>
              <w:spacing w:after="0" w:line="240" w:lineRule="auto"/>
              <w:rPr>
                <w:rFonts w:ascii="Garamond" w:eastAsia="Times New Roman" w:hAnsi="Garamond" w:cs="Garamond"/>
                <w:sz w:val="20"/>
                <w:szCs w:val="20"/>
                <w:lang w:eastAsia="id-ID"/>
              </w:rPr>
            </w:pPr>
            <w:r>
              <w:rPr>
                <w:rFonts w:ascii="Garamond" w:eastAsia="Times New Roman" w:hAnsi="Garamond" w:cs="Garamond"/>
                <w:b/>
                <w:bCs/>
                <w:color w:val="000000"/>
                <w:kern w:val="24"/>
                <w:sz w:val="20"/>
                <w:szCs w:val="20"/>
                <w:lang w:eastAsia="id-ID"/>
              </w:rPr>
              <w:t>Stbl 238 tahun 1931)</w:t>
            </w:r>
          </w:p>
        </w:tc>
        <w:tc>
          <w:tcPr>
            <w:tcW w:w="2268" w:type="dxa"/>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tcPr>
          <w:p w14:paraId="7E590852" w14:textId="77777777" w:rsidR="00C813F8" w:rsidRDefault="00000000">
            <w:pPr>
              <w:spacing w:after="0" w:line="240" w:lineRule="auto"/>
              <w:rPr>
                <w:rFonts w:ascii="Garamond" w:eastAsia="Times New Roman" w:hAnsi="Garamond" w:cs="Garamond"/>
                <w:sz w:val="20"/>
                <w:szCs w:val="20"/>
                <w:lang w:eastAsia="id-ID"/>
              </w:rPr>
            </w:pPr>
            <w:r>
              <w:rPr>
                <w:rFonts w:ascii="Garamond" w:eastAsia="Times New Roman" w:hAnsi="Garamond" w:cs="Garamond"/>
                <w:b/>
                <w:bCs/>
                <w:color w:val="000000"/>
                <w:kern w:val="24"/>
                <w:sz w:val="20"/>
                <w:szCs w:val="20"/>
                <w:lang w:eastAsia="id-ID"/>
              </w:rPr>
              <w:t>Undang-undang Benda Cagar Budaya No. 5 tahun 1992</w:t>
            </w:r>
          </w:p>
        </w:tc>
        <w:tc>
          <w:tcPr>
            <w:tcW w:w="2410" w:type="dxa"/>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tcPr>
          <w:p w14:paraId="38A128B3" w14:textId="77777777" w:rsidR="00C813F8" w:rsidRDefault="00000000">
            <w:pPr>
              <w:spacing w:after="0" w:line="240" w:lineRule="auto"/>
              <w:rPr>
                <w:rFonts w:ascii="Garamond" w:eastAsia="Times New Roman" w:hAnsi="Garamond" w:cs="Garamond"/>
                <w:sz w:val="20"/>
                <w:szCs w:val="20"/>
                <w:lang w:eastAsia="id-ID"/>
              </w:rPr>
            </w:pPr>
            <w:r>
              <w:rPr>
                <w:rFonts w:ascii="Garamond" w:eastAsia="Times New Roman" w:hAnsi="Garamond" w:cs="Garamond"/>
                <w:b/>
                <w:bCs/>
                <w:color w:val="000000"/>
                <w:kern w:val="24"/>
                <w:sz w:val="20"/>
                <w:szCs w:val="20"/>
                <w:lang w:eastAsia="id-ID"/>
              </w:rPr>
              <w:t>Undang-undang Cagar Budaya No.11 tahun 2010</w:t>
            </w:r>
          </w:p>
        </w:tc>
      </w:tr>
      <w:tr w:rsidR="00C813F8" w14:paraId="0A13A6EF" w14:textId="77777777">
        <w:trPr>
          <w:trHeight w:val="1079"/>
          <w:jc w:val="center"/>
        </w:trPr>
        <w:tc>
          <w:tcPr>
            <w:tcW w:w="1916" w:type="dxa"/>
            <w:tcBorders>
              <w:top w:val="single" w:sz="8" w:space="0" w:color="000000"/>
              <w:left w:val="single" w:sz="8" w:space="0" w:color="000000"/>
              <w:bottom w:val="single" w:sz="8" w:space="0" w:color="000000"/>
              <w:right w:val="single" w:sz="8" w:space="0" w:color="000000"/>
            </w:tcBorders>
            <w:shd w:val="clear" w:color="auto" w:fill="FFCC99"/>
            <w:tcMar>
              <w:top w:w="15" w:type="dxa"/>
              <w:left w:w="73" w:type="dxa"/>
              <w:bottom w:w="0" w:type="dxa"/>
              <w:right w:w="73" w:type="dxa"/>
            </w:tcMar>
          </w:tcPr>
          <w:p w14:paraId="26B6E8BC" w14:textId="77777777" w:rsidR="00C813F8" w:rsidRDefault="00000000">
            <w:pPr>
              <w:spacing w:after="0" w:line="240" w:lineRule="auto"/>
              <w:rPr>
                <w:rFonts w:ascii="Garamond" w:eastAsia="Times New Roman" w:hAnsi="Garamond" w:cs="Garamond"/>
                <w:sz w:val="20"/>
                <w:szCs w:val="20"/>
                <w:lang w:eastAsia="id-ID"/>
              </w:rPr>
            </w:pPr>
            <w:r>
              <w:rPr>
                <w:rFonts w:ascii="Garamond" w:eastAsia="MS Mincho" w:hAnsi="Garamond" w:cs="Garamond"/>
                <w:b/>
                <w:bCs/>
                <w:color w:val="000000"/>
                <w:kern w:val="24"/>
                <w:sz w:val="20"/>
                <w:szCs w:val="20"/>
                <w:lang w:eastAsia="id-ID"/>
              </w:rPr>
              <w:t>Skop dan lingkupWarisan Budaya yang dilindungi</w:t>
            </w:r>
          </w:p>
        </w:tc>
        <w:tc>
          <w:tcPr>
            <w:tcW w:w="2268" w:type="dxa"/>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tcPr>
          <w:p w14:paraId="520B364F" w14:textId="77777777" w:rsidR="00C813F8" w:rsidRDefault="00000000">
            <w:pPr>
              <w:spacing w:after="0" w:line="240" w:lineRule="auto"/>
              <w:rPr>
                <w:rFonts w:ascii="Garamond" w:eastAsia="Times New Roman" w:hAnsi="Garamond" w:cs="Garamond"/>
                <w:sz w:val="20"/>
                <w:szCs w:val="20"/>
                <w:lang w:eastAsia="id-ID"/>
              </w:rPr>
            </w:pPr>
            <w:r>
              <w:rPr>
                <w:rFonts w:ascii="Garamond" w:eastAsia="MS Mincho" w:hAnsi="Garamond" w:cs="Garamond"/>
                <w:color w:val="000000"/>
                <w:kern w:val="24"/>
                <w:sz w:val="20"/>
                <w:szCs w:val="20"/>
                <w:lang w:eastAsia="id-ID"/>
              </w:rPr>
              <w:t>Warisan budaya ragawi (</w:t>
            </w:r>
            <w:r>
              <w:rPr>
                <w:rFonts w:ascii="Garamond" w:eastAsia="MS Mincho" w:hAnsi="Garamond" w:cs="Garamond"/>
                <w:i/>
                <w:color w:val="000000"/>
                <w:kern w:val="24"/>
                <w:sz w:val="20"/>
                <w:szCs w:val="20"/>
                <w:lang w:eastAsia="id-ID"/>
              </w:rPr>
              <w:t>Tangible Heritage)</w:t>
            </w:r>
            <w:r>
              <w:rPr>
                <w:rFonts w:ascii="Garamond" w:eastAsia="MS Mincho" w:hAnsi="Garamond" w:cs="Garamond"/>
                <w:color w:val="000000"/>
                <w:kern w:val="24"/>
                <w:sz w:val="20"/>
                <w:szCs w:val="20"/>
                <w:lang w:eastAsia="id-ID"/>
              </w:rPr>
              <w:t xml:space="preserve"> termasukwarisan bergerak (</w:t>
            </w:r>
            <w:r>
              <w:rPr>
                <w:rFonts w:ascii="Garamond" w:eastAsia="MS Mincho" w:hAnsi="Garamond" w:cs="Garamond"/>
                <w:i/>
                <w:color w:val="000000"/>
                <w:kern w:val="24"/>
                <w:sz w:val="20"/>
                <w:szCs w:val="20"/>
                <w:lang w:eastAsia="id-ID"/>
              </w:rPr>
              <w:t>Movable Heritage</w:t>
            </w:r>
            <w:r>
              <w:rPr>
                <w:rFonts w:ascii="Garamond" w:eastAsia="MS Mincho" w:hAnsi="Garamond" w:cs="Garamond"/>
                <w:color w:val="000000"/>
                <w:kern w:val="24"/>
                <w:sz w:val="20"/>
                <w:szCs w:val="20"/>
                <w:lang w:eastAsia="id-ID"/>
              </w:rPr>
              <w:t>)</w:t>
            </w:r>
            <w:r>
              <w:rPr>
                <w:rFonts w:ascii="Garamond" w:eastAsia="Times New Roman" w:hAnsi="Garamond" w:cs="Garamond"/>
                <w:sz w:val="20"/>
                <w:szCs w:val="20"/>
                <w:lang w:eastAsia="id-ID"/>
              </w:rPr>
              <w:t xml:space="preserve">, </w:t>
            </w:r>
            <w:r>
              <w:rPr>
                <w:rFonts w:ascii="Garamond" w:eastAsia="MS Mincho" w:hAnsi="Garamond" w:cs="Garamond"/>
                <w:color w:val="000000"/>
                <w:kern w:val="24"/>
                <w:sz w:val="20"/>
                <w:szCs w:val="20"/>
                <w:lang w:eastAsia="id-ID"/>
              </w:rPr>
              <w:t>dan tidak bergerak (</w:t>
            </w:r>
            <w:r>
              <w:rPr>
                <w:rFonts w:ascii="Garamond" w:eastAsia="MS Mincho" w:hAnsi="Garamond" w:cs="Garamond"/>
                <w:i/>
                <w:color w:val="000000"/>
                <w:kern w:val="24"/>
                <w:sz w:val="20"/>
                <w:szCs w:val="20"/>
                <w:lang w:eastAsia="id-ID"/>
              </w:rPr>
              <w:t xml:space="preserve">Immovable Heritage) </w:t>
            </w:r>
            <w:r>
              <w:rPr>
                <w:rFonts w:ascii="Garamond" w:eastAsia="MS Mincho" w:hAnsi="Garamond" w:cs="Garamond"/>
                <w:color w:val="000000"/>
                <w:kern w:val="24"/>
                <w:sz w:val="20"/>
                <w:szCs w:val="20"/>
                <w:lang w:eastAsia="id-ID"/>
              </w:rPr>
              <w:t>dan Situs</w:t>
            </w:r>
          </w:p>
        </w:tc>
        <w:tc>
          <w:tcPr>
            <w:tcW w:w="2268" w:type="dxa"/>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tcPr>
          <w:p w14:paraId="132F4F84" w14:textId="77777777" w:rsidR="00C813F8" w:rsidRDefault="00000000">
            <w:pPr>
              <w:spacing w:after="0" w:line="240" w:lineRule="auto"/>
              <w:rPr>
                <w:rFonts w:ascii="Garamond" w:eastAsia="Times New Roman" w:hAnsi="Garamond" w:cs="Garamond"/>
                <w:sz w:val="20"/>
                <w:szCs w:val="20"/>
                <w:lang w:eastAsia="id-ID"/>
              </w:rPr>
            </w:pPr>
            <w:r>
              <w:rPr>
                <w:rFonts w:ascii="Garamond" w:eastAsia="MS Mincho" w:hAnsi="Garamond" w:cs="Garamond"/>
                <w:color w:val="000000"/>
                <w:kern w:val="24"/>
                <w:sz w:val="20"/>
                <w:szCs w:val="20"/>
                <w:lang w:eastAsia="id-ID"/>
              </w:rPr>
              <w:t>Warisan budaya ragawi (</w:t>
            </w:r>
            <w:r>
              <w:rPr>
                <w:rFonts w:ascii="Garamond" w:eastAsia="MS Mincho" w:hAnsi="Garamond" w:cs="Garamond"/>
                <w:i/>
                <w:color w:val="000000"/>
                <w:kern w:val="24"/>
                <w:sz w:val="20"/>
                <w:szCs w:val="20"/>
                <w:lang w:eastAsia="id-ID"/>
              </w:rPr>
              <w:t>Tangible Heritage</w:t>
            </w:r>
            <w:r>
              <w:rPr>
                <w:rFonts w:ascii="Garamond" w:eastAsia="MS Mincho" w:hAnsi="Garamond" w:cs="Garamond"/>
                <w:color w:val="000000"/>
                <w:kern w:val="24"/>
                <w:sz w:val="20"/>
                <w:szCs w:val="20"/>
                <w:lang w:eastAsia="id-ID"/>
              </w:rPr>
              <w:t>) termasukwarisan bergerak (</w:t>
            </w:r>
            <w:r>
              <w:rPr>
                <w:rFonts w:ascii="Garamond" w:eastAsia="MS Mincho" w:hAnsi="Garamond" w:cs="Garamond"/>
                <w:i/>
                <w:color w:val="000000"/>
                <w:kern w:val="24"/>
                <w:sz w:val="20"/>
                <w:szCs w:val="20"/>
                <w:lang w:eastAsia="id-ID"/>
              </w:rPr>
              <w:t>Movable Heritage)</w:t>
            </w:r>
            <w:r>
              <w:rPr>
                <w:rFonts w:ascii="Garamond" w:eastAsia="Times New Roman" w:hAnsi="Garamond" w:cs="Garamond"/>
                <w:i/>
                <w:sz w:val="20"/>
                <w:szCs w:val="20"/>
                <w:lang w:eastAsia="id-ID"/>
              </w:rPr>
              <w:t>,</w:t>
            </w:r>
            <w:r>
              <w:rPr>
                <w:rFonts w:ascii="Garamond" w:eastAsia="MS Mincho" w:hAnsi="Garamond" w:cs="Garamond"/>
                <w:color w:val="000000"/>
                <w:kern w:val="24"/>
                <w:sz w:val="20"/>
                <w:szCs w:val="20"/>
                <w:lang w:eastAsia="id-ID"/>
              </w:rPr>
              <w:t>dan tidak bergerak (</w:t>
            </w:r>
            <w:r>
              <w:rPr>
                <w:rFonts w:ascii="Garamond" w:eastAsia="MS Mincho" w:hAnsi="Garamond" w:cs="Garamond"/>
                <w:i/>
                <w:color w:val="000000"/>
                <w:kern w:val="24"/>
                <w:sz w:val="20"/>
                <w:szCs w:val="20"/>
                <w:lang w:eastAsia="id-ID"/>
              </w:rPr>
              <w:t>Immovable Heritage)</w:t>
            </w:r>
            <w:r>
              <w:rPr>
                <w:rFonts w:ascii="Garamond" w:eastAsia="MS Mincho" w:hAnsi="Garamond" w:cs="Garamond"/>
                <w:color w:val="000000"/>
                <w:kern w:val="24"/>
                <w:sz w:val="20"/>
                <w:szCs w:val="20"/>
                <w:lang w:eastAsia="id-ID"/>
              </w:rPr>
              <w:t xml:space="preserve"> dan Situs</w:t>
            </w:r>
          </w:p>
        </w:tc>
        <w:tc>
          <w:tcPr>
            <w:tcW w:w="2410" w:type="dxa"/>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tcPr>
          <w:p w14:paraId="190A3420" w14:textId="77777777" w:rsidR="00C813F8" w:rsidRDefault="00000000">
            <w:pPr>
              <w:spacing w:after="0" w:line="240" w:lineRule="auto"/>
              <w:rPr>
                <w:rFonts w:ascii="Garamond" w:eastAsia="Times New Roman" w:hAnsi="Garamond" w:cs="Garamond"/>
                <w:sz w:val="20"/>
                <w:szCs w:val="20"/>
                <w:lang w:eastAsia="id-ID"/>
              </w:rPr>
            </w:pPr>
            <w:r>
              <w:rPr>
                <w:rFonts w:ascii="Garamond" w:eastAsia="MS Mincho" w:hAnsi="Garamond" w:cs="Garamond"/>
                <w:color w:val="000000"/>
                <w:kern w:val="24"/>
                <w:sz w:val="20"/>
                <w:szCs w:val="20"/>
                <w:lang w:eastAsia="id-ID"/>
              </w:rPr>
              <w:t>Warisan budaya ragawi (</w:t>
            </w:r>
            <w:r>
              <w:rPr>
                <w:rFonts w:ascii="Garamond" w:eastAsia="MS Mincho" w:hAnsi="Garamond" w:cs="Garamond"/>
                <w:i/>
                <w:color w:val="000000"/>
                <w:kern w:val="24"/>
                <w:sz w:val="20"/>
                <w:szCs w:val="20"/>
                <w:lang w:eastAsia="id-ID"/>
              </w:rPr>
              <w:t>Tangible Heritage</w:t>
            </w:r>
            <w:r>
              <w:rPr>
                <w:rFonts w:ascii="Garamond" w:eastAsia="MS Mincho" w:hAnsi="Garamond" w:cs="Garamond"/>
                <w:color w:val="000000"/>
                <w:kern w:val="24"/>
                <w:sz w:val="20"/>
                <w:szCs w:val="20"/>
                <w:lang w:eastAsia="id-ID"/>
              </w:rPr>
              <w:t>) termasukwarisan bergerak (</w:t>
            </w:r>
            <w:r>
              <w:rPr>
                <w:rFonts w:ascii="Garamond" w:eastAsia="MS Mincho" w:hAnsi="Garamond" w:cs="Garamond"/>
                <w:i/>
                <w:color w:val="000000"/>
                <w:kern w:val="24"/>
                <w:sz w:val="20"/>
                <w:szCs w:val="20"/>
                <w:lang w:eastAsia="id-ID"/>
              </w:rPr>
              <w:t>Movable Heritage)</w:t>
            </w:r>
            <w:r>
              <w:rPr>
                <w:rFonts w:ascii="Garamond" w:eastAsia="Times New Roman" w:hAnsi="Garamond" w:cs="Garamond"/>
                <w:sz w:val="20"/>
                <w:szCs w:val="20"/>
                <w:lang w:eastAsia="id-ID"/>
              </w:rPr>
              <w:t xml:space="preserve">, </w:t>
            </w:r>
            <w:r>
              <w:rPr>
                <w:rFonts w:ascii="Garamond" w:eastAsia="MS Mincho" w:hAnsi="Garamond" w:cs="Garamond"/>
                <w:color w:val="000000"/>
                <w:kern w:val="24"/>
                <w:sz w:val="20"/>
                <w:szCs w:val="20"/>
                <w:lang w:eastAsia="id-ID"/>
              </w:rPr>
              <w:t xml:space="preserve">dan tidak bergerak </w:t>
            </w:r>
            <w:r>
              <w:rPr>
                <w:rFonts w:ascii="Garamond" w:eastAsia="MS Mincho" w:hAnsi="Garamond" w:cs="Garamond"/>
                <w:i/>
                <w:color w:val="000000"/>
                <w:kern w:val="24"/>
                <w:sz w:val="20"/>
                <w:szCs w:val="20"/>
                <w:lang w:eastAsia="id-ID"/>
              </w:rPr>
              <w:t>(Immovable Heritage)</w:t>
            </w:r>
            <w:r>
              <w:rPr>
                <w:rFonts w:ascii="Garamond" w:eastAsia="MS Mincho" w:hAnsi="Garamond" w:cs="Garamond"/>
                <w:color w:val="000000"/>
                <w:kern w:val="24"/>
                <w:sz w:val="20"/>
                <w:szCs w:val="20"/>
                <w:lang w:eastAsia="id-ID"/>
              </w:rPr>
              <w:t>, Kelompok Bangunan, Kawasan, dan Situs</w:t>
            </w:r>
          </w:p>
          <w:p w14:paraId="377E79CE" w14:textId="77777777" w:rsidR="00C813F8" w:rsidRDefault="00C813F8">
            <w:pPr>
              <w:spacing w:after="0" w:line="240" w:lineRule="auto"/>
              <w:rPr>
                <w:rFonts w:ascii="Garamond" w:eastAsia="Times New Roman" w:hAnsi="Garamond" w:cs="Garamond"/>
                <w:sz w:val="20"/>
                <w:szCs w:val="20"/>
                <w:lang w:eastAsia="id-ID"/>
              </w:rPr>
            </w:pPr>
          </w:p>
        </w:tc>
      </w:tr>
      <w:tr w:rsidR="00C813F8" w14:paraId="29C70454" w14:textId="77777777">
        <w:trPr>
          <w:trHeight w:val="983"/>
          <w:jc w:val="center"/>
        </w:trPr>
        <w:tc>
          <w:tcPr>
            <w:tcW w:w="1916" w:type="dxa"/>
            <w:tcBorders>
              <w:top w:val="single" w:sz="8" w:space="0" w:color="000000"/>
              <w:left w:val="single" w:sz="8" w:space="0" w:color="000000"/>
              <w:bottom w:val="single" w:sz="8" w:space="0" w:color="000000"/>
              <w:right w:val="single" w:sz="8" w:space="0" w:color="000000"/>
            </w:tcBorders>
            <w:shd w:val="clear" w:color="auto" w:fill="FFCC99"/>
            <w:tcMar>
              <w:top w:w="15" w:type="dxa"/>
              <w:left w:w="73" w:type="dxa"/>
              <w:bottom w:w="0" w:type="dxa"/>
              <w:right w:w="73" w:type="dxa"/>
            </w:tcMar>
          </w:tcPr>
          <w:p w14:paraId="2EF7E329" w14:textId="77777777" w:rsidR="00C813F8" w:rsidRDefault="00000000">
            <w:pPr>
              <w:spacing w:after="0" w:line="240" w:lineRule="auto"/>
              <w:rPr>
                <w:rFonts w:ascii="Garamond" w:eastAsia="Times New Roman" w:hAnsi="Garamond" w:cs="Garamond"/>
                <w:sz w:val="20"/>
                <w:szCs w:val="20"/>
                <w:lang w:eastAsia="id-ID"/>
              </w:rPr>
            </w:pPr>
            <w:r>
              <w:rPr>
                <w:rFonts w:ascii="Garamond" w:eastAsia="MS Mincho" w:hAnsi="Garamond" w:cs="Garamond"/>
                <w:b/>
                <w:bCs/>
                <w:color w:val="000000"/>
                <w:kern w:val="24"/>
                <w:sz w:val="20"/>
                <w:szCs w:val="20"/>
                <w:lang w:eastAsia="id-ID"/>
              </w:rPr>
              <w:t>Hirarki perlindugnan dan pengelolaan cagar budaya</w:t>
            </w:r>
          </w:p>
        </w:tc>
        <w:tc>
          <w:tcPr>
            <w:tcW w:w="2268" w:type="dxa"/>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tcPr>
          <w:p w14:paraId="76D2688B" w14:textId="77777777" w:rsidR="00C813F8" w:rsidRDefault="00000000">
            <w:pPr>
              <w:spacing w:after="0" w:line="240" w:lineRule="auto"/>
              <w:rPr>
                <w:rFonts w:ascii="Garamond" w:eastAsia="Times New Roman" w:hAnsi="Garamond" w:cs="Garamond"/>
                <w:sz w:val="20"/>
                <w:szCs w:val="20"/>
                <w:lang w:eastAsia="id-ID"/>
              </w:rPr>
            </w:pPr>
            <w:r>
              <w:rPr>
                <w:rFonts w:ascii="Garamond" w:eastAsia="MS Mincho" w:hAnsi="Garamond" w:cs="Garamond"/>
                <w:color w:val="000000"/>
                <w:kern w:val="24"/>
                <w:sz w:val="20"/>
                <w:szCs w:val="20"/>
                <w:lang w:eastAsia="id-ID"/>
              </w:rPr>
              <w:t xml:space="preserve">Awalnya Pusat atau nasional (sentralisasi), setelah kemerdekaan Nasional dan Provinsi </w:t>
            </w:r>
          </w:p>
        </w:tc>
        <w:tc>
          <w:tcPr>
            <w:tcW w:w="2268" w:type="dxa"/>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tcPr>
          <w:p w14:paraId="010195BC" w14:textId="77777777" w:rsidR="00C813F8" w:rsidRDefault="00000000">
            <w:pPr>
              <w:spacing w:after="0" w:line="240" w:lineRule="auto"/>
              <w:rPr>
                <w:rFonts w:ascii="Garamond" w:eastAsia="Times New Roman" w:hAnsi="Garamond" w:cs="Garamond"/>
                <w:sz w:val="20"/>
                <w:szCs w:val="20"/>
                <w:lang w:eastAsia="id-ID"/>
              </w:rPr>
            </w:pPr>
            <w:r>
              <w:rPr>
                <w:rFonts w:ascii="Garamond" w:eastAsia="MS Mincho" w:hAnsi="Garamond" w:cs="Garamond"/>
                <w:color w:val="000000"/>
                <w:kern w:val="24"/>
                <w:sz w:val="20"/>
                <w:szCs w:val="20"/>
                <w:lang w:eastAsia="id-ID"/>
              </w:rPr>
              <w:t>Orde Baru:Nasional dan Provinsi, setelah reformasi Nasional, Provinsi dan Kabupaten/Kota</w:t>
            </w:r>
          </w:p>
        </w:tc>
        <w:tc>
          <w:tcPr>
            <w:tcW w:w="2410" w:type="dxa"/>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tcPr>
          <w:p w14:paraId="34D9FCE1" w14:textId="77777777" w:rsidR="00C813F8" w:rsidRDefault="00000000">
            <w:pPr>
              <w:spacing w:after="0" w:line="240" w:lineRule="auto"/>
              <w:rPr>
                <w:rFonts w:ascii="Garamond" w:eastAsia="Times New Roman" w:hAnsi="Garamond" w:cs="Garamond"/>
                <w:sz w:val="20"/>
                <w:szCs w:val="20"/>
                <w:lang w:eastAsia="id-ID"/>
              </w:rPr>
            </w:pPr>
            <w:r>
              <w:rPr>
                <w:rFonts w:ascii="Garamond" w:eastAsia="MS Mincho" w:hAnsi="Garamond" w:cs="Garamond"/>
                <w:color w:val="000000"/>
                <w:kern w:val="24"/>
                <w:sz w:val="20"/>
                <w:szCs w:val="20"/>
                <w:lang w:eastAsia="id-ID"/>
              </w:rPr>
              <w:t>Nasional, Provinsi dan Kabupaten/Kota</w:t>
            </w:r>
          </w:p>
        </w:tc>
      </w:tr>
    </w:tbl>
    <w:p w14:paraId="52FDDF85" w14:textId="77777777" w:rsidR="00C813F8" w:rsidRDefault="00C813F8">
      <w:pPr>
        <w:pStyle w:val="NormalWeb"/>
        <w:spacing w:before="0" w:beforeAutospacing="0" w:after="0" w:afterAutospacing="0"/>
        <w:jc w:val="both"/>
        <w:rPr>
          <w:rFonts w:ascii="Garamond" w:hAnsi="Garamond" w:cs="Garamond"/>
          <w:sz w:val="22"/>
          <w:szCs w:val="22"/>
        </w:rPr>
      </w:pPr>
    </w:p>
    <w:p w14:paraId="7074E112" w14:textId="77777777" w:rsidR="00C813F8" w:rsidRDefault="00000000">
      <w:pPr>
        <w:autoSpaceDE w:val="0"/>
        <w:autoSpaceDN w:val="0"/>
        <w:adjustRightInd w:val="0"/>
        <w:spacing w:after="0" w:line="240" w:lineRule="auto"/>
        <w:ind w:firstLine="720"/>
        <w:jc w:val="both"/>
        <w:rPr>
          <w:rFonts w:ascii="Garamond" w:hAnsi="Garamond" w:cs="Garamond"/>
          <w:sz w:val="22"/>
        </w:rPr>
      </w:pPr>
      <w:r>
        <w:rPr>
          <w:rFonts w:ascii="Garamond" w:hAnsi="Garamond" w:cs="Garamond"/>
          <w:sz w:val="22"/>
        </w:rPr>
        <w:t xml:space="preserve">Pembahasan hasil dalam penelitian ini mencakup analisa terhadap dua undang-undang yang berlaku sebelum Undang-undang No.11 tahun 2010  tentang Cagar Budaya yang berlaku saat ini. </w:t>
      </w:r>
    </w:p>
    <w:p w14:paraId="4EEB5956" w14:textId="77777777" w:rsidR="00C813F8" w:rsidRDefault="00C813F8">
      <w:pPr>
        <w:autoSpaceDE w:val="0"/>
        <w:autoSpaceDN w:val="0"/>
        <w:adjustRightInd w:val="0"/>
        <w:spacing w:after="0" w:line="240" w:lineRule="auto"/>
        <w:ind w:firstLine="720"/>
        <w:jc w:val="both"/>
        <w:rPr>
          <w:rFonts w:ascii="Garamond" w:hAnsi="Garamond" w:cs="Garamond"/>
          <w:sz w:val="22"/>
        </w:rPr>
      </w:pPr>
    </w:p>
    <w:p w14:paraId="35CF245D" w14:textId="77777777" w:rsidR="00C813F8" w:rsidRDefault="00C813F8">
      <w:pPr>
        <w:autoSpaceDE w:val="0"/>
        <w:autoSpaceDN w:val="0"/>
        <w:adjustRightInd w:val="0"/>
        <w:spacing w:after="0" w:line="240" w:lineRule="auto"/>
        <w:jc w:val="both"/>
        <w:rPr>
          <w:rFonts w:ascii="Garamond" w:hAnsi="Garamond" w:cs="Garamond"/>
          <w:sz w:val="22"/>
        </w:rPr>
      </w:pPr>
    </w:p>
    <w:p w14:paraId="66B2E1BE" w14:textId="77777777" w:rsidR="00C813F8" w:rsidRDefault="00000000">
      <w:pPr>
        <w:pStyle w:val="ListParagraph"/>
        <w:autoSpaceDE w:val="0"/>
        <w:autoSpaceDN w:val="0"/>
        <w:adjustRightInd w:val="0"/>
        <w:spacing w:after="0" w:line="240" w:lineRule="auto"/>
        <w:ind w:left="360" w:hanging="360"/>
        <w:jc w:val="both"/>
        <w:rPr>
          <w:rFonts w:ascii="Garamond" w:hAnsi="Garamond" w:cs="Garamond"/>
          <w:b/>
          <w:sz w:val="22"/>
        </w:rPr>
      </w:pPr>
      <w:r>
        <w:rPr>
          <w:rFonts w:ascii="Garamond" w:hAnsi="Garamond" w:cs="Garamond"/>
          <w:b/>
          <w:sz w:val="22"/>
        </w:rPr>
        <w:t xml:space="preserve">      1. Monumenten Ordonantie (MO) Stbl 238 1932</w:t>
      </w:r>
    </w:p>
    <w:p w14:paraId="778B2DAE" w14:textId="77777777" w:rsidR="00C813F8" w:rsidRDefault="00000000">
      <w:pPr>
        <w:autoSpaceDE w:val="0"/>
        <w:autoSpaceDN w:val="0"/>
        <w:adjustRightInd w:val="0"/>
        <w:spacing w:after="0" w:line="240" w:lineRule="auto"/>
        <w:ind w:firstLine="720"/>
        <w:jc w:val="both"/>
        <w:rPr>
          <w:rFonts w:ascii="Garamond" w:hAnsi="Garamond" w:cs="Garamond"/>
          <w:sz w:val="22"/>
          <w:lang w:val="en-US"/>
        </w:rPr>
      </w:pPr>
      <w:r>
        <w:rPr>
          <w:rFonts w:ascii="Garamond" w:hAnsi="Garamond" w:cs="Garamond"/>
          <w:sz w:val="22"/>
        </w:rPr>
        <w:t>Undang-undang yang mengatur dan melindungi cagar budaya di Indonesia dimulai pada masa Pemerintahan Hindia Belanda, yaitu MO 1931. Undang-undang ini memiliki 14 pasal yang mencakup pengertian dan terminologi monumen, prosedur pendaftaran monumen, proses akses dan pengawasan terhadap monumen termasuk penetapan sanksi terhadap pelanggaran-pelanggaran, serta jawatan yang berwenang dalam pengelolaan dan pengawasan warisan budaya budaya. Di tingkat global istilah ini digunakan sejak pertengahan abad ke 17 hingga pertengahan abad 20</w:t>
      </w:r>
      <w:r>
        <w:rPr>
          <w:rFonts w:ascii="Garamond" w:hAnsi="Garamond" w:cs="Garamond"/>
          <w:sz w:val="22"/>
          <w:lang w:val="en-US"/>
        </w:rPr>
        <w:t>.</w:t>
      </w:r>
    </w:p>
    <w:p w14:paraId="31646F7D" w14:textId="77777777" w:rsidR="00C813F8" w:rsidRDefault="00000000">
      <w:pPr>
        <w:autoSpaceDE w:val="0"/>
        <w:autoSpaceDN w:val="0"/>
        <w:adjustRightInd w:val="0"/>
        <w:spacing w:after="0" w:line="240" w:lineRule="auto"/>
        <w:ind w:firstLine="720"/>
        <w:jc w:val="both"/>
        <w:rPr>
          <w:rFonts w:ascii="Garamond" w:hAnsi="Garamond" w:cs="Garamond"/>
          <w:sz w:val="22"/>
          <w:lang w:val="en-US"/>
        </w:rPr>
      </w:pPr>
      <w:r>
        <w:rPr>
          <w:rFonts w:ascii="Garamond" w:hAnsi="Garamond" w:cs="Garamond"/>
          <w:sz w:val="22"/>
        </w:rPr>
        <w:t>Terminologi Monumen yang diatur dalam MO ini tertuang dalam Pasal 1. Berdasarkan pasal ini terdapat tiga kategori yaitu benda-benda bergerak maupun tak bergerak yang dibuat oleh tangan manusia, benda-benda dipandang dari sudut palaeoanthropologi, dan situs.  Secara umum dapat disimpulkan bahwa fokus warisan budaya budaya masih kepada monumen tunggal benda-benda palaeoanthropologi, arkeologi, dan situs. Sedangkan untuk monumen-monumen alamiah flora dan fauna tidak diatur dalam undang-undang ini. Pasal-pasal berikutnya tentang pendaftaran, penetapan ganti rugi, akses pengawasan dan penetapan sanksi pelanggaran, dimana secara keseluruhan menggambarkan bahwa pengelolaan warisan budaya budaya adalah semata-mata urusan pemerintah dan untuk negara. Pengikutsertaan masyarakat lebih ditujukan untuk pengabdian kepada pemerintah sementara hak-hak masyarakat itu sendiri kurang diakomodir</w:t>
      </w:r>
      <w:r>
        <w:rPr>
          <w:rFonts w:ascii="Garamond" w:hAnsi="Garamond" w:cs="Garamond"/>
          <w:sz w:val="22"/>
          <w:lang w:val="en-US"/>
        </w:rPr>
        <w:t>.</w:t>
      </w:r>
    </w:p>
    <w:p w14:paraId="7515CAE0" w14:textId="77777777" w:rsidR="00C813F8" w:rsidRDefault="00000000">
      <w:pPr>
        <w:autoSpaceDE w:val="0"/>
        <w:autoSpaceDN w:val="0"/>
        <w:adjustRightInd w:val="0"/>
        <w:spacing w:after="0" w:line="240" w:lineRule="auto"/>
        <w:ind w:firstLine="720"/>
        <w:jc w:val="both"/>
        <w:rPr>
          <w:rFonts w:ascii="Garamond" w:hAnsi="Garamond" w:cs="Garamond"/>
          <w:sz w:val="22"/>
        </w:rPr>
      </w:pPr>
      <w:r>
        <w:rPr>
          <w:rFonts w:ascii="Garamond" w:hAnsi="Garamond" w:cs="Garamond"/>
          <w:sz w:val="22"/>
        </w:rPr>
        <w:t xml:space="preserve">Dalam pasal-pasal dalam MO ini konsep pengelolaan warisan budaya pada masa ini bersifat sentralistik dan bertumpu kepada pemerintah pusat dalam hal ini terdiri dari tiga elemen yaitu Gubernur Hindia Belanda, Direktur Pendidikan dan Keagamaan dan Kepala Dinas Purbakala. Dalam hal ini, Gubernur dan Direktur Pendidikan dan Keagamaan memiliki tugas untuk mengambil keputusan, memerintahkan dan memberi teguran terhadap kegiatan pendaftaran, ganti rugi, penyitaan, kelalaian dan pelanggaran dengan hierarki tertinggi adalah pada Gubernur. </w:t>
      </w:r>
    </w:p>
    <w:p w14:paraId="6014E39E" w14:textId="77777777" w:rsidR="00C813F8" w:rsidRDefault="00C813F8">
      <w:pPr>
        <w:autoSpaceDE w:val="0"/>
        <w:autoSpaceDN w:val="0"/>
        <w:adjustRightInd w:val="0"/>
        <w:spacing w:after="0" w:line="240" w:lineRule="auto"/>
        <w:ind w:firstLine="720"/>
        <w:jc w:val="both"/>
        <w:rPr>
          <w:rFonts w:ascii="Garamond" w:hAnsi="Garamond" w:cs="Garamond"/>
          <w:sz w:val="22"/>
        </w:rPr>
      </w:pPr>
    </w:p>
    <w:p w14:paraId="1C6D0223" w14:textId="77777777" w:rsidR="00C813F8" w:rsidRDefault="00000000">
      <w:pPr>
        <w:spacing w:after="0" w:line="240" w:lineRule="auto"/>
        <w:jc w:val="both"/>
        <w:rPr>
          <w:rFonts w:ascii="Garamond" w:hAnsi="Garamond" w:cs="Garamond"/>
          <w:b/>
          <w:color w:val="000000"/>
          <w:sz w:val="22"/>
        </w:rPr>
      </w:pPr>
      <w:r>
        <w:rPr>
          <w:rFonts w:ascii="Garamond" w:hAnsi="Garamond" w:cs="Garamond"/>
          <w:b/>
          <w:color w:val="000000"/>
          <w:sz w:val="22"/>
        </w:rPr>
        <w:t xml:space="preserve">      2. Undang-Undang No.5 tahun 1992  tentang Benda Cagar Budaya</w:t>
      </w:r>
    </w:p>
    <w:p w14:paraId="1CF7B51C" w14:textId="77777777" w:rsidR="00C813F8" w:rsidRDefault="00000000">
      <w:pPr>
        <w:autoSpaceDE w:val="0"/>
        <w:autoSpaceDN w:val="0"/>
        <w:adjustRightInd w:val="0"/>
        <w:spacing w:after="0" w:line="240" w:lineRule="auto"/>
        <w:ind w:firstLine="720"/>
        <w:jc w:val="both"/>
        <w:rPr>
          <w:rFonts w:ascii="Garamond" w:hAnsi="Garamond" w:cs="Garamond"/>
          <w:sz w:val="22"/>
        </w:rPr>
      </w:pPr>
      <w:r>
        <w:rPr>
          <w:rFonts w:ascii="Garamond" w:hAnsi="Garamond" w:cs="Garamond"/>
          <w:sz w:val="22"/>
        </w:rPr>
        <w:lastRenderedPageBreak/>
        <w:t xml:space="preserve">Setelah kemerdekaan MO Stbl 231, undang-undang yang diciptakan sejak masa Belanda ini,  masih berlaku hingga tahun 1992. Undang-undang ini kemudian tidak berlaku lagi setelah terbit Undang-undang No.5 tahun 1992 tentang Benda Cagar Budaya (BCB) yang terdiri dari 32 pasal. Undang-undang ini diikuti dengan terbitnya Peraturan Pemerintah No.10 tahun 1993 untuk mengatur pelaksanaannya. Segala sesuatu mengenai ketentuan pasal dalam UU ini diatur dalam PP tersebut yang terdiri dari 45 pasal. Beberapa hal yang menjadi bahan analisa dalam UU ini adalah banyaknya pasal yang diadopsi dari MO stbl 238 tahun 1931 sehingga menyebabkan tidak ada perubahan yang signifikan dilakukan dalam isinya termasuk dalam skop atau terminologi warisan budaya. Pada periode ini, terdapat beberapa undang-undang yang bersinergi dengan UU No.5 tahun 1992 di bidang pelestarian warisan budaya, diantaranya adalah sebagai berikut: UU No.24 tahun 1992 tentang Bangunan Gedung, UU Kepariwisataan No.19 tahun 1990, UU No. 4 tahun 1982 tentang Ketentuan-ketentuan Pokok Pengelolaan Lingkungan Hidup, UU No.4 tahun 1992 tentang Penataan ruang. </w:t>
      </w:r>
    </w:p>
    <w:p w14:paraId="65EBB615" w14:textId="77777777" w:rsidR="00C813F8" w:rsidRDefault="00C813F8">
      <w:pPr>
        <w:autoSpaceDE w:val="0"/>
        <w:autoSpaceDN w:val="0"/>
        <w:adjustRightInd w:val="0"/>
        <w:spacing w:after="0" w:line="240" w:lineRule="auto"/>
        <w:ind w:firstLine="720"/>
        <w:jc w:val="both"/>
        <w:rPr>
          <w:rFonts w:ascii="Garamond" w:hAnsi="Garamond" w:cs="Garamond"/>
          <w:sz w:val="22"/>
        </w:rPr>
      </w:pPr>
    </w:p>
    <w:p w14:paraId="1EB52556" w14:textId="77777777" w:rsidR="00C813F8" w:rsidRDefault="00000000">
      <w:pPr>
        <w:spacing w:after="0" w:line="240" w:lineRule="auto"/>
        <w:jc w:val="both"/>
        <w:rPr>
          <w:rFonts w:ascii="Garamond" w:hAnsi="Garamond" w:cs="Garamond"/>
          <w:sz w:val="22"/>
        </w:rPr>
      </w:pPr>
      <w:r>
        <w:rPr>
          <w:rFonts w:ascii="Garamond" w:hAnsi="Garamond" w:cs="Garamond"/>
          <w:b/>
          <w:color w:val="000000"/>
          <w:sz w:val="22"/>
        </w:rPr>
        <w:t xml:space="preserve">      3. Undang-undang  No 11 tahun 2010 tentang Cagar Budaya </w:t>
      </w:r>
    </w:p>
    <w:p w14:paraId="266628B0" w14:textId="77777777" w:rsidR="00C813F8" w:rsidRDefault="00000000">
      <w:pPr>
        <w:pStyle w:val="ListParagraph"/>
        <w:spacing w:after="0" w:line="240" w:lineRule="auto"/>
        <w:ind w:left="0" w:firstLine="720"/>
        <w:jc w:val="both"/>
        <w:rPr>
          <w:rFonts w:ascii="Garamond" w:hAnsi="Garamond" w:cs="Garamond"/>
          <w:color w:val="000000" w:themeColor="text1"/>
          <w:sz w:val="22"/>
        </w:rPr>
      </w:pPr>
      <w:r>
        <w:rPr>
          <w:rFonts w:ascii="Garamond" w:hAnsi="Garamond" w:cs="Garamond"/>
          <w:color w:val="000000"/>
          <w:sz w:val="22"/>
        </w:rPr>
        <w:t xml:space="preserve">Setelah terbitnya UU Cagar Budaya No.11 tahun 2010, harapan akan perbaikan perlindungan cagar budaya di Indonesia menguat. Namun, ada beberapa </w:t>
      </w:r>
      <w:r>
        <w:rPr>
          <w:rFonts w:ascii="Garamond" w:hAnsi="Garamond" w:cs="Garamond"/>
          <w:color w:val="000000" w:themeColor="text1"/>
          <w:sz w:val="22"/>
        </w:rPr>
        <w:t>hal yang dianalisa dan perlu dikritisi dari UU No.11 tahun 2010 ini; pertama, yaitu mengenai penggunaan istilah cagar budaya yang masih mengacu kepada objek materi kebudayaan (</w:t>
      </w:r>
      <w:r>
        <w:rPr>
          <w:rFonts w:ascii="Garamond" w:hAnsi="Garamond" w:cs="Garamond"/>
          <w:i/>
          <w:color w:val="000000" w:themeColor="text1"/>
          <w:sz w:val="22"/>
        </w:rPr>
        <w:t>cultural property</w:t>
      </w:r>
      <w:r>
        <w:rPr>
          <w:rFonts w:ascii="Garamond" w:hAnsi="Garamond" w:cs="Garamond"/>
          <w:color w:val="000000" w:themeColor="text1"/>
          <w:sz w:val="22"/>
        </w:rPr>
        <w:t>) seperti yang tren di tingkat global pada beberapa dekade sebelumnyanya. Sekarang ini dalam konvensi, piagam dan instrumen internasional banyak menggunakan terminologi ‘</w:t>
      </w:r>
      <w:r>
        <w:rPr>
          <w:rFonts w:ascii="Garamond" w:hAnsi="Garamond" w:cs="Garamond"/>
          <w:i/>
          <w:color w:val="000000" w:themeColor="text1"/>
          <w:sz w:val="22"/>
        </w:rPr>
        <w:t>cultural heritage’</w:t>
      </w:r>
      <w:r>
        <w:rPr>
          <w:rFonts w:ascii="Garamond" w:hAnsi="Garamond" w:cs="Garamond"/>
          <w:color w:val="000000" w:themeColor="text1"/>
          <w:sz w:val="22"/>
        </w:rPr>
        <w:t xml:space="preserve"> atau warisan budaya. Defenisi dan makna ‘</w:t>
      </w:r>
      <w:r>
        <w:rPr>
          <w:rFonts w:ascii="Garamond" w:hAnsi="Garamond" w:cs="Garamond"/>
          <w:i/>
          <w:color w:val="000000" w:themeColor="text1"/>
          <w:sz w:val="22"/>
        </w:rPr>
        <w:t>cultural heritage’</w:t>
      </w:r>
      <w:r>
        <w:rPr>
          <w:rFonts w:ascii="Garamond" w:hAnsi="Garamond" w:cs="Garamond"/>
          <w:color w:val="000000" w:themeColor="text1"/>
          <w:sz w:val="22"/>
        </w:rPr>
        <w:t xml:space="preserve"> ini beragam dan mengalami perluasan dalam kategorinya.</w:t>
      </w:r>
    </w:p>
    <w:p w14:paraId="3833B69D" w14:textId="77777777" w:rsidR="00C813F8" w:rsidRDefault="00000000">
      <w:pPr>
        <w:pStyle w:val="ListParagraph"/>
        <w:spacing w:after="0" w:line="240" w:lineRule="auto"/>
        <w:ind w:left="0" w:firstLine="720"/>
        <w:jc w:val="both"/>
        <w:rPr>
          <w:rFonts w:ascii="Garamond" w:hAnsi="Garamond" w:cs="Garamond"/>
          <w:color w:val="000000" w:themeColor="text1"/>
          <w:sz w:val="22"/>
        </w:rPr>
      </w:pPr>
      <w:r>
        <w:rPr>
          <w:rFonts w:ascii="Garamond" w:hAnsi="Garamond" w:cs="Garamond"/>
          <w:color w:val="000000" w:themeColor="text1"/>
          <w:sz w:val="22"/>
        </w:rPr>
        <w:t xml:space="preserve">Poin kedua yang patut dicermati dari UU No.11 tahun 2010 yaitu konsep atau definisi dari kategori warisan budaya yang tercantum dalam Pasal 1: </w:t>
      </w:r>
      <w:r>
        <w:rPr>
          <w:rFonts w:ascii="Garamond" w:eastAsiaTheme="minorHAnsi" w:hAnsi="Garamond" w:cs="Garamond"/>
          <w:sz w:val="22"/>
        </w:rPr>
        <w:t>baik benda, struktur, bangunan, situs, dan kawasan</w:t>
      </w:r>
      <w:r>
        <w:rPr>
          <w:rFonts w:ascii="Garamond" w:hAnsi="Garamond" w:cs="Garamond"/>
          <w:color w:val="000000" w:themeColor="text1"/>
          <w:sz w:val="22"/>
        </w:rPr>
        <w:t xml:space="preserve">, masih kurang tepat dan bersifat sempit, </w:t>
      </w:r>
      <w:r>
        <w:rPr>
          <w:rFonts w:ascii="Garamond" w:eastAsiaTheme="minorHAnsi" w:hAnsi="Garamond" w:cs="Garamond"/>
          <w:sz w:val="22"/>
        </w:rPr>
        <w:t>misalnya seperti pengertian kawasan,  serta</w:t>
      </w:r>
      <w:r>
        <w:rPr>
          <w:rFonts w:ascii="Garamond" w:hAnsi="Garamond" w:cs="Garamond"/>
          <w:color w:val="000000" w:themeColor="text1"/>
          <w:sz w:val="22"/>
        </w:rPr>
        <w:t xml:space="preserve"> kategori belum mencakupi ketegori warisan budaya tak benda (</w:t>
      </w:r>
      <w:r>
        <w:rPr>
          <w:rFonts w:ascii="Garamond" w:hAnsi="Garamond" w:cs="Garamond"/>
          <w:i/>
          <w:color w:val="000000" w:themeColor="text1"/>
          <w:sz w:val="22"/>
        </w:rPr>
        <w:t>intangible heritage</w:t>
      </w:r>
      <w:r>
        <w:rPr>
          <w:rFonts w:ascii="Garamond" w:hAnsi="Garamond" w:cs="Garamond"/>
          <w:color w:val="000000" w:themeColor="text1"/>
          <w:sz w:val="22"/>
        </w:rPr>
        <w:t>) dan warisan budaya bawah air</w:t>
      </w:r>
      <w:r>
        <w:rPr>
          <w:rStyle w:val="FootnoteReference"/>
          <w:rFonts w:ascii="Garamond" w:hAnsi="Garamond" w:cs="Garamond"/>
          <w:color w:val="000000" w:themeColor="text1"/>
          <w:sz w:val="22"/>
        </w:rPr>
        <w:footnoteReference w:id="1"/>
      </w:r>
      <w:r>
        <w:rPr>
          <w:rFonts w:ascii="Garamond" w:hAnsi="Garamond" w:cs="Garamond"/>
          <w:color w:val="000000" w:themeColor="text1"/>
          <w:sz w:val="22"/>
        </w:rPr>
        <w:t xml:space="preserve">. Hal ini memang sejak awal dalam UU tersebut dinyatakan bahwa </w:t>
      </w:r>
      <w:r>
        <w:rPr>
          <w:rFonts w:ascii="Garamond" w:eastAsiaTheme="minorHAnsi" w:hAnsi="Garamond" w:cs="Garamond"/>
          <w:sz w:val="22"/>
        </w:rPr>
        <w:t xml:space="preserve">“cagar budaya adalah warisan budaya bersifat </w:t>
      </w:r>
      <w:r>
        <w:rPr>
          <w:rFonts w:ascii="Garamond" w:eastAsiaTheme="minorHAnsi" w:hAnsi="Garamond" w:cs="Garamond"/>
          <w:bCs/>
          <w:sz w:val="22"/>
        </w:rPr>
        <w:t>kebendaan</w:t>
      </w:r>
      <w:r>
        <w:rPr>
          <w:rFonts w:ascii="Garamond" w:eastAsiaTheme="minorHAnsi" w:hAnsi="Garamond" w:cs="Garamond"/>
          <w:sz w:val="22"/>
        </w:rPr>
        <w:t xml:space="preserve">”. </w:t>
      </w:r>
      <w:r>
        <w:rPr>
          <w:rFonts w:ascii="Garamond" w:hAnsi="Garamond" w:cs="Garamond"/>
          <w:color w:val="000000" w:themeColor="text1"/>
          <w:sz w:val="22"/>
        </w:rPr>
        <w:t xml:space="preserve">Sepatutnya kategori warisan budaya bawah air ini menjadi sangat penting karena Indonesia adalah negara maritim yang memiliki warisan budaya bawah air yang sangat bernilai tinggi. Sehingga sangat diperlukan satu pengaturan dalam pengelolaannya. </w:t>
      </w:r>
    </w:p>
    <w:p w14:paraId="32F1743C" w14:textId="77777777" w:rsidR="00C813F8" w:rsidRDefault="00000000">
      <w:pPr>
        <w:pStyle w:val="ListParagraph"/>
        <w:spacing w:after="0" w:line="240" w:lineRule="auto"/>
        <w:ind w:left="0" w:firstLine="720"/>
        <w:jc w:val="both"/>
        <w:rPr>
          <w:rFonts w:ascii="Garamond" w:hAnsi="Garamond" w:cs="Garamond"/>
          <w:sz w:val="22"/>
        </w:rPr>
      </w:pPr>
      <w:r>
        <w:rPr>
          <w:rFonts w:ascii="Garamond" w:hAnsi="Garamond" w:cs="Garamond"/>
          <w:color w:val="000000" w:themeColor="text1"/>
          <w:sz w:val="22"/>
        </w:rPr>
        <w:t>P</w:t>
      </w:r>
      <w:r>
        <w:rPr>
          <w:rFonts w:ascii="Garamond" w:eastAsiaTheme="minorHAnsi" w:hAnsi="Garamond" w:cs="Garamond"/>
          <w:sz w:val="22"/>
        </w:rPr>
        <w:t>oin ketiga yaitu di dalam undang-undang ini belum ada jabaran konsep mengenai signifikansi warisan (</w:t>
      </w:r>
      <w:r>
        <w:rPr>
          <w:rFonts w:ascii="Garamond" w:eastAsiaTheme="minorHAnsi" w:hAnsi="Garamond" w:cs="Garamond"/>
          <w:i/>
          <w:sz w:val="22"/>
        </w:rPr>
        <w:t>cultural significance</w:t>
      </w:r>
      <w:r>
        <w:rPr>
          <w:rFonts w:ascii="Garamond" w:eastAsiaTheme="minorHAnsi" w:hAnsi="Garamond" w:cs="Garamond"/>
          <w:sz w:val="22"/>
        </w:rPr>
        <w:t xml:space="preserve">), cara menilainya dan kronologi proses kegiatan pelestarian yang sistematik seperti yang dijabarkan dalam Piagam Burra. </w:t>
      </w:r>
      <w:r>
        <w:rPr>
          <w:rStyle w:val="hps"/>
          <w:rFonts w:ascii="Garamond" w:hAnsi="Garamond" w:cs="Garamond"/>
          <w:sz w:val="22"/>
        </w:rPr>
        <w:t xml:space="preserve">Dalam Piagam tersebut dijelaskan </w:t>
      </w:r>
      <w:r>
        <w:rPr>
          <w:rFonts w:ascii="Garamond" w:hAnsi="Garamond" w:cs="Garamond"/>
          <w:sz w:val="22"/>
        </w:rPr>
        <w:t>bahwa tujuan utama pelestarian tidak hanya untuk melestarikan fisik dari warisan budaya itu semata, melainkan juga untuk mempertahankan nilai penting warisan budaya (</w:t>
      </w:r>
      <w:r>
        <w:rPr>
          <w:rFonts w:ascii="Garamond" w:hAnsi="Garamond" w:cs="Garamond"/>
          <w:i/>
          <w:sz w:val="22"/>
        </w:rPr>
        <w:t>cultural heritage significance</w:t>
      </w:r>
      <w:r>
        <w:rPr>
          <w:rFonts w:ascii="Garamond" w:hAnsi="Garamond" w:cs="Garamond"/>
          <w:sz w:val="22"/>
        </w:rPr>
        <w:t xml:space="preserve">) yang terkandung oleh warisan budaya agar tidak berkurang ataupun hilang. </w:t>
      </w:r>
    </w:p>
    <w:p w14:paraId="7404FB69" w14:textId="77777777" w:rsidR="00C813F8" w:rsidRDefault="00000000">
      <w:pPr>
        <w:pStyle w:val="ListParagraph"/>
        <w:tabs>
          <w:tab w:val="left" w:pos="1920"/>
        </w:tabs>
        <w:spacing w:after="0" w:line="240" w:lineRule="auto"/>
        <w:ind w:left="0" w:firstLine="720"/>
        <w:jc w:val="both"/>
        <w:rPr>
          <w:rFonts w:ascii="Garamond" w:hAnsi="Garamond" w:cs="Garamond"/>
          <w:sz w:val="22"/>
          <w:lang w:val="en-US"/>
        </w:rPr>
      </w:pPr>
      <w:r>
        <w:rPr>
          <w:rFonts w:ascii="Garamond" w:hAnsi="Garamond" w:cs="Garamond"/>
          <w:sz w:val="22"/>
        </w:rPr>
        <w:t>Selanjutnya, poin keempat yang perlu dikritisi dalam UU No.11/2010 adalah adalah masih menerapkan cara pandang atau paradigma lama dalam penetapan sebuah objek menjadi warisan budaya dalam pengelolaan warisan budaya. Sangat jelas dirasakan bahwa kriteria utama penetapan sebagai warisan budaya pada Pasal 5 masih pada nilai usia yang harus mencapai sedikitnya 50 tahun, walaupun dalam Pasal 11 masih dimungkinkan kriteria yang lain seperti ‘memiliki arti khusus bagi bangsa Indonesia</w:t>
      </w:r>
      <w:r>
        <w:rPr>
          <w:rFonts w:ascii="Garamond" w:hAnsi="Garamond" w:cs="Garamond"/>
          <w:sz w:val="22"/>
          <w:lang w:val="en-US"/>
        </w:rPr>
        <w:t>.</w:t>
      </w:r>
    </w:p>
    <w:p w14:paraId="7E2DCE45" w14:textId="77777777" w:rsidR="00C813F8" w:rsidRDefault="00000000">
      <w:pPr>
        <w:pStyle w:val="ListParagraph"/>
        <w:tabs>
          <w:tab w:val="left" w:pos="1920"/>
        </w:tabs>
        <w:spacing w:after="0" w:line="240" w:lineRule="auto"/>
        <w:ind w:left="0" w:firstLine="720"/>
        <w:jc w:val="both"/>
        <w:rPr>
          <w:rFonts w:ascii="Garamond" w:hAnsi="Garamond" w:cs="Garamond"/>
          <w:sz w:val="22"/>
        </w:rPr>
      </w:pPr>
      <w:r>
        <w:rPr>
          <w:rFonts w:ascii="Garamond" w:hAnsi="Garamond" w:cs="Garamond"/>
          <w:sz w:val="22"/>
        </w:rPr>
        <w:t xml:space="preserve">Poin kelima adalah undang-undang ini masih berfokus kepada benda atau objek pusaka yang bersifat statis bukan lingkungan atau kawasan yang lebih bersifat dinamis artinya bisa berubah. Sehingga belum mencakup langkah-langkah pengelolaan perubahan dan pemantauan (monitoring) terhadap perubahan yang terjadi. </w:t>
      </w:r>
    </w:p>
    <w:p w14:paraId="3E4F3942" w14:textId="77777777" w:rsidR="00C813F8" w:rsidRDefault="00000000">
      <w:pPr>
        <w:pStyle w:val="ListParagraph"/>
        <w:tabs>
          <w:tab w:val="left" w:pos="1920"/>
        </w:tabs>
        <w:spacing w:after="0" w:line="240" w:lineRule="auto"/>
        <w:ind w:left="0" w:firstLine="720"/>
        <w:jc w:val="both"/>
        <w:rPr>
          <w:rFonts w:ascii="Garamond" w:eastAsiaTheme="minorHAnsi" w:hAnsi="Garamond" w:cs="Garamond"/>
          <w:sz w:val="22"/>
        </w:rPr>
      </w:pPr>
      <w:r>
        <w:rPr>
          <w:rFonts w:ascii="Garamond" w:hAnsi="Garamond" w:cs="Garamond"/>
          <w:sz w:val="22"/>
        </w:rPr>
        <w:t>Poin keenam adalah secara keseluruhan dalam pasal-pasalnya UU No.11 tahun 2010 ini masih menggambarkan bahwa pengelolaan warisan budaya budaya adalah semata-mata urusan pemerintah dan untuk negara sehingga harus dimiliki/dikuasai. Tertera pada Pasal 13 bahwa “</w:t>
      </w:r>
      <w:r>
        <w:rPr>
          <w:rFonts w:ascii="Garamond" w:eastAsiaTheme="minorHAnsi" w:hAnsi="Garamond" w:cs="Garamond"/>
          <w:sz w:val="22"/>
        </w:rPr>
        <w:t>kawasan Cagar Budaya hanya dapat dimiliki dan/atau dikuasai oleh negara, kecuali yang secara turun-temurun dimiliki oleh masyarakat hukum adat”.</w:t>
      </w:r>
    </w:p>
    <w:p w14:paraId="00546D20" w14:textId="77777777" w:rsidR="00C813F8" w:rsidRDefault="00000000">
      <w:pPr>
        <w:pStyle w:val="ListParagraph"/>
        <w:tabs>
          <w:tab w:val="left" w:pos="1920"/>
        </w:tabs>
        <w:spacing w:after="0" w:line="240" w:lineRule="auto"/>
        <w:ind w:left="0" w:firstLine="720"/>
        <w:jc w:val="both"/>
        <w:rPr>
          <w:rFonts w:ascii="Garamond" w:hAnsi="Garamond" w:cs="Garamond"/>
          <w:sz w:val="22"/>
        </w:rPr>
      </w:pPr>
      <w:r>
        <w:rPr>
          <w:rFonts w:ascii="Garamond" w:hAnsi="Garamond" w:cs="Garamond"/>
          <w:sz w:val="22"/>
        </w:rPr>
        <w:t xml:space="preserve">Beberapa konsep baru yang sudah dinyatakan dalam UU No.11/2010 ini adalah adanya pernyataan mengenai kategori warisan budaya yang meliputi kawasan dan konsep desentralisasi dengan membuat pemeringkatan mulai dari nasional, provinsi, dan kabpaten/kota. dalam perlindungan dan pengelolaan </w:t>
      </w:r>
      <w:r>
        <w:rPr>
          <w:rFonts w:ascii="Garamond" w:hAnsi="Garamond" w:cs="Garamond"/>
          <w:sz w:val="22"/>
        </w:rPr>
        <w:lastRenderedPageBreak/>
        <w:t>warisan budaya. Namun proses dan pengaturan hirarki dalam pengelolaan dan pendanaan pelestariannya masih belum jelas dinyatakan. Semua ini diharapkan menjadi dalam pelaksanaannya masih belum jelas dinyatakan banyak direalisasikan di daerah-daerah.</w:t>
      </w:r>
    </w:p>
    <w:p w14:paraId="41EB176D" w14:textId="77777777" w:rsidR="00C813F8" w:rsidRDefault="00000000">
      <w:pPr>
        <w:pStyle w:val="ListParagraph"/>
        <w:tabs>
          <w:tab w:val="left" w:pos="1920"/>
        </w:tabs>
        <w:spacing w:after="0" w:line="240" w:lineRule="auto"/>
        <w:ind w:left="0" w:firstLine="720"/>
        <w:jc w:val="both"/>
        <w:rPr>
          <w:rFonts w:ascii="Garamond" w:hAnsi="Garamond" w:cs="Garamond"/>
          <w:sz w:val="22"/>
        </w:rPr>
      </w:pPr>
      <w:r>
        <w:rPr>
          <w:rFonts w:ascii="Garamond" w:hAnsi="Garamond" w:cs="Garamond"/>
          <w:sz w:val="22"/>
        </w:rPr>
        <w:t>Dari hasil kompilasi data yang dilakukan melalui beberapa tahapan, beberapa undang-undang yang sangat terkait dengan  perlindungan dan pelestarian cagar budaya yang berlaku di Indonesia saat ini adalah:</w:t>
      </w:r>
    </w:p>
    <w:p w14:paraId="72EE9048" w14:textId="77777777" w:rsidR="00C813F8" w:rsidRDefault="00000000">
      <w:pPr>
        <w:numPr>
          <w:ilvl w:val="0"/>
          <w:numId w:val="1"/>
        </w:numPr>
        <w:tabs>
          <w:tab w:val="clear" w:pos="425"/>
          <w:tab w:val="left" w:pos="1134"/>
          <w:tab w:val="left" w:pos="1920"/>
        </w:tabs>
        <w:autoSpaceDE w:val="0"/>
        <w:autoSpaceDN w:val="0"/>
        <w:adjustRightInd w:val="0"/>
        <w:spacing w:after="0" w:line="240" w:lineRule="auto"/>
        <w:jc w:val="both"/>
        <w:rPr>
          <w:rFonts w:ascii="Garamond" w:hAnsi="Garamond" w:cs="Garamond"/>
          <w:color w:val="000000"/>
          <w:sz w:val="22"/>
        </w:rPr>
      </w:pPr>
      <w:hyperlink r:id="rId15" w:tgtFrame="_blank" w:history="1">
        <w:r>
          <w:rPr>
            <w:rStyle w:val="Hyperlink"/>
            <w:rFonts w:ascii="Garamond" w:hAnsi="Garamond" w:cs="Garamond"/>
            <w:color w:val="000000"/>
            <w:sz w:val="22"/>
            <w:u w:val="none"/>
          </w:rPr>
          <w:t>Undang-Undang Nomor 28 Tahun 2002 tentang Bangunan Gedung</w:t>
        </w:r>
      </w:hyperlink>
      <w:r>
        <w:rPr>
          <w:rStyle w:val="Hyperlink"/>
          <w:rFonts w:ascii="Garamond" w:hAnsi="Garamond" w:cs="Garamond"/>
          <w:color w:val="000000"/>
          <w:sz w:val="22"/>
          <w:u w:val="none"/>
        </w:rPr>
        <w:t xml:space="preserve">. </w:t>
      </w:r>
      <w:r>
        <w:rPr>
          <w:rFonts w:ascii="Garamond" w:hAnsi="Garamond" w:cs="Garamond"/>
          <w:color w:val="000000"/>
          <w:sz w:val="22"/>
        </w:rPr>
        <w:t xml:space="preserve">Pasal yang berhubungan dengan perlindungan dan pelestarian cagar budaya yaitu Pasal 38. </w:t>
      </w:r>
    </w:p>
    <w:p w14:paraId="452200A8" w14:textId="77777777" w:rsidR="00C813F8" w:rsidRDefault="00000000">
      <w:pPr>
        <w:numPr>
          <w:ilvl w:val="0"/>
          <w:numId w:val="1"/>
        </w:numPr>
        <w:tabs>
          <w:tab w:val="clear" w:pos="425"/>
          <w:tab w:val="left" w:pos="1134"/>
          <w:tab w:val="left" w:pos="1920"/>
        </w:tabs>
        <w:autoSpaceDE w:val="0"/>
        <w:autoSpaceDN w:val="0"/>
        <w:adjustRightInd w:val="0"/>
        <w:spacing w:after="0" w:line="240" w:lineRule="auto"/>
        <w:jc w:val="both"/>
        <w:rPr>
          <w:rFonts w:ascii="Garamond" w:hAnsi="Garamond" w:cs="Garamond"/>
          <w:color w:val="000000"/>
          <w:sz w:val="22"/>
        </w:rPr>
      </w:pPr>
      <w:r>
        <w:rPr>
          <w:rFonts w:ascii="Garamond" w:hAnsi="Garamond" w:cs="Garamond"/>
          <w:color w:val="000000"/>
          <w:sz w:val="22"/>
        </w:rPr>
        <w:t>Undang-Undang No. 26 tahun 2007 (sebelumnya UU No.24 tahun 1992) tentang Penataan Ruang. Pasal yang berhubungan dengan perlindungan dan pelestarian cagar budaya yaitu pasal 1,4, 6,11,17, 25, 26, 38, dan 48.</w:t>
      </w:r>
    </w:p>
    <w:p w14:paraId="44801974" w14:textId="77777777" w:rsidR="00C813F8" w:rsidRDefault="00000000">
      <w:pPr>
        <w:numPr>
          <w:ilvl w:val="0"/>
          <w:numId w:val="1"/>
        </w:numPr>
        <w:tabs>
          <w:tab w:val="clear" w:pos="425"/>
          <w:tab w:val="left" w:pos="1134"/>
          <w:tab w:val="left" w:pos="1920"/>
        </w:tabs>
        <w:autoSpaceDE w:val="0"/>
        <w:autoSpaceDN w:val="0"/>
        <w:adjustRightInd w:val="0"/>
        <w:spacing w:after="0" w:line="240" w:lineRule="auto"/>
        <w:jc w:val="both"/>
        <w:rPr>
          <w:rFonts w:ascii="Garamond" w:hAnsi="Garamond" w:cs="Garamond"/>
          <w:color w:val="000000"/>
          <w:sz w:val="22"/>
        </w:rPr>
      </w:pPr>
      <w:r>
        <w:rPr>
          <w:rFonts w:ascii="Garamond" w:hAnsi="Garamond" w:cs="Garamond"/>
          <w:color w:val="000000"/>
          <w:sz w:val="22"/>
        </w:rPr>
        <w:t xml:space="preserve">Undang-Undang Kepariwisataan No.10 tahun 2009 (sebelumnya Undang-undang Kepariwisataan No.19 Tahun 1990). Pasal yang berhubungan dengan perlindungan dan pelestarian cagar budaya yaitu pasal </w:t>
      </w:r>
      <w:r>
        <w:rPr>
          <w:rFonts w:ascii="Garamond" w:hAnsi="Garamond" w:cs="Garamond"/>
          <w:sz w:val="22"/>
        </w:rPr>
        <w:t>23,27,28,29,dan 30.</w:t>
      </w:r>
    </w:p>
    <w:p w14:paraId="015D4A9D" w14:textId="77777777" w:rsidR="00C813F8" w:rsidRDefault="00000000">
      <w:pPr>
        <w:pStyle w:val="ListParagraph"/>
        <w:tabs>
          <w:tab w:val="left" w:pos="1920"/>
        </w:tabs>
        <w:spacing w:after="0" w:line="240" w:lineRule="auto"/>
        <w:ind w:left="0" w:firstLine="720"/>
        <w:jc w:val="both"/>
        <w:rPr>
          <w:rFonts w:ascii="Garamond" w:hAnsi="Garamond" w:cs="Garamond"/>
          <w:sz w:val="22"/>
        </w:rPr>
      </w:pPr>
      <w:r>
        <w:rPr>
          <w:rFonts w:ascii="Garamond" w:hAnsi="Garamond" w:cs="Garamond"/>
          <w:sz w:val="22"/>
        </w:rPr>
        <w:t>Selain itu sejumlah Peraturan Pemerintah terhadap pelaksaan undang-undang tersebut diatas berikut Peraturan Menteri yang berhubungan dengan cagar budayasebagai penjelasan pelaksanaannya seperti dalam tabel berikut dibawah ini.</w:t>
      </w:r>
    </w:p>
    <w:p w14:paraId="730429D8" w14:textId="77777777" w:rsidR="00C813F8" w:rsidRDefault="00C813F8">
      <w:pPr>
        <w:spacing w:after="0" w:line="240" w:lineRule="auto"/>
        <w:jc w:val="both"/>
        <w:rPr>
          <w:rFonts w:ascii="Garamond" w:hAnsi="Garamond" w:cs="Garamond"/>
          <w:sz w:val="22"/>
        </w:rPr>
      </w:pPr>
    </w:p>
    <w:p w14:paraId="01C6483F" w14:textId="77777777" w:rsidR="00C813F8" w:rsidRDefault="00000000">
      <w:pPr>
        <w:pStyle w:val="ListParagraph"/>
        <w:spacing w:after="0" w:line="240" w:lineRule="auto"/>
        <w:ind w:left="489"/>
        <w:jc w:val="center"/>
        <w:rPr>
          <w:rFonts w:ascii="Garamond" w:hAnsi="Garamond" w:cs="Garamond"/>
          <w:sz w:val="20"/>
          <w:szCs w:val="20"/>
        </w:rPr>
      </w:pPr>
      <w:r>
        <w:rPr>
          <w:rFonts w:ascii="Garamond" w:hAnsi="Garamond" w:cs="Garamond"/>
          <w:sz w:val="20"/>
          <w:szCs w:val="20"/>
        </w:rPr>
        <w:t>Tabel 2. Daftar Peraturan Pemerintah yang berhubungan</w:t>
      </w:r>
      <w:r>
        <w:rPr>
          <w:rFonts w:ascii="Garamond" w:hAnsi="Garamond" w:cs="Garamond"/>
          <w:sz w:val="20"/>
          <w:szCs w:val="20"/>
          <w:lang w:val="en-US"/>
        </w:rPr>
        <w:t xml:space="preserve"> </w:t>
      </w:r>
      <w:r>
        <w:rPr>
          <w:rFonts w:ascii="Garamond" w:hAnsi="Garamond" w:cs="Garamond"/>
          <w:sz w:val="20"/>
          <w:szCs w:val="20"/>
        </w:rPr>
        <w:t>dengan perlindungan cagar budaya</w:t>
      </w:r>
    </w:p>
    <w:p w14:paraId="2ECE52CF" w14:textId="77777777" w:rsidR="00C813F8" w:rsidRDefault="00C813F8">
      <w:pPr>
        <w:spacing w:after="0" w:line="240" w:lineRule="auto"/>
        <w:jc w:val="both"/>
        <w:rPr>
          <w:rFonts w:ascii="Garamond" w:eastAsia="Times New Roman" w:hAnsi="Garamond" w:cs="Garamond"/>
          <w:sz w:val="22"/>
          <w:lang w:val="en-US"/>
        </w:rPr>
      </w:pPr>
    </w:p>
    <w:tbl>
      <w:tblPr>
        <w:tblStyle w:val="TableGrid"/>
        <w:tblW w:w="0" w:type="auto"/>
        <w:tblInd w:w="426" w:type="dxa"/>
        <w:tblLook w:val="04A0" w:firstRow="1" w:lastRow="0" w:firstColumn="1" w:lastColumn="0" w:noHBand="0" w:noVBand="1"/>
      </w:tblPr>
      <w:tblGrid>
        <w:gridCol w:w="793"/>
        <w:gridCol w:w="7763"/>
      </w:tblGrid>
      <w:tr w:rsidR="00C813F8" w14:paraId="5799CB26" w14:textId="77777777">
        <w:tc>
          <w:tcPr>
            <w:tcW w:w="816" w:type="dxa"/>
          </w:tcPr>
          <w:p w14:paraId="3C4B9256" w14:textId="77777777" w:rsidR="00C813F8" w:rsidRDefault="00000000">
            <w:pPr>
              <w:spacing w:after="0" w:line="240" w:lineRule="auto"/>
              <w:jc w:val="center"/>
              <w:rPr>
                <w:rFonts w:ascii="Garamond" w:hAnsi="Garamond" w:cs="Garamond"/>
                <w:b/>
                <w:sz w:val="20"/>
                <w:szCs w:val="20"/>
              </w:rPr>
            </w:pPr>
            <w:r>
              <w:rPr>
                <w:rFonts w:ascii="Garamond" w:hAnsi="Garamond" w:cs="Garamond"/>
                <w:b/>
                <w:sz w:val="20"/>
                <w:szCs w:val="20"/>
              </w:rPr>
              <w:t>No.</w:t>
            </w:r>
          </w:p>
        </w:tc>
        <w:tc>
          <w:tcPr>
            <w:tcW w:w="8334" w:type="dxa"/>
          </w:tcPr>
          <w:p w14:paraId="3A39D47E" w14:textId="77777777" w:rsidR="00C813F8" w:rsidRDefault="00000000">
            <w:pPr>
              <w:spacing w:after="0" w:line="240" w:lineRule="auto"/>
              <w:jc w:val="center"/>
              <w:rPr>
                <w:rFonts w:ascii="Garamond" w:hAnsi="Garamond" w:cs="Garamond"/>
                <w:b/>
                <w:sz w:val="20"/>
                <w:szCs w:val="20"/>
              </w:rPr>
            </w:pPr>
            <w:r>
              <w:rPr>
                <w:rFonts w:ascii="Garamond" w:hAnsi="Garamond" w:cs="Garamond"/>
                <w:b/>
                <w:sz w:val="20"/>
                <w:szCs w:val="20"/>
              </w:rPr>
              <w:t>Nama Peraturan</w:t>
            </w:r>
          </w:p>
        </w:tc>
      </w:tr>
      <w:tr w:rsidR="00C813F8" w14:paraId="702FE0E4" w14:textId="77777777">
        <w:tc>
          <w:tcPr>
            <w:tcW w:w="816" w:type="dxa"/>
          </w:tcPr>
          <w:p w14:paraId="421367CA" w14:textId="77777777" w:rsidR="00C813F8" w:rsidRDefault="00000000">
            <w:pPr>
              <w:spacing w:after="0" w:line="240" w:lineRule="auto"/>
              <w:jc w:val="both"/>
              <w:rPr>
                <w:rFonts w:ascii="Garamond" w:hAnsi="Garamond" w:cs="Garamond"/>
                <w:sz w:val="20"/>
                <w:szCs w:val="20"/>
              </w:rPr>
            </w:pPr>
            <w:r>
              <w:rPr>
                <w:rFonts w:ascii="Garamond" w:hAnsi="Garamond" w:cs="Garamond"/>
                <w:sz w:val="20"/>
                <w:szCs w:val="20"/>
              </w:rPr>
              <w:t>1</w:t>
            </w:r>
          </w:p>
        </w:tc>
        <w:tc>
          <w:tcPr>
            <w:tcW w:w="8334" w:type="dxa"/>
          </w:tcPr>
          <w:p w14:paraId="7D819B4D" w14:textId="77777777" w:rsidR="00C813F8" w:rsidRDefault="00000000">
            <w:pPr>
              <w:spacing w:after="0" w:line="240" w:lineRule="auto"/>
              <w:jc w:val="both"/>
              <w:rPr>
                <w:rFonts w:ascii="Garamond" w:hAnsi="Garamond" w:cs="Garamond"/>
                <w:sz w:val="20"/>
                <w:szCs w:val="20"/>
              </w:rPr>
            </w:pPr>
            <w:r>
              <w:rPr>
                <w:rFonts w:ascii="Garamond" w:hAnsi="Garamond" w:cs="Garamond"/>
                <w:sz w:val="20"/>
                <w:szCs w:val="20"/>
              </w:rPr>
              <w:t>Peraturan Pemerintah No.10 tahun 1993 tentang Pelaksanaan Undang-Undang Nomor 5 Tahun 1992 tentang Benda Cagar Budaya (Lembaran Negara Republik Indonesia Tahun 1993 Nomor 14, Tambahan Lembaran Negara Republik Indonesia Nomor 3516)</w:t>
            </w:r>
          </w:p>
        </w:tc>
      </w:tr>
      <w:tr w:rsidR="00C813F8" w14:paraId="35229A18" w14:textId="77777777">
        <w:tc>
          <w:tcPr>
            <w:tcW w:w="816" w:type="dxa"/>
          </w:tcPr>
          <w:p w14:paraId="77D377D9" w14:textId="77777777" w:rsidR="00C813F8" w:rsidRDefault="00000000">
            <w:pPr>
              <w:spacing w:after="0" w:line="240" w:lineRule="auto"/>
              <w:jc w:val="both"/>
              <w:rPr>
                <w:rFonts w:ascii="Garamond" w:hAnsi="Garamond" w:cs="Garamond"/>
                <w:sz w:val="20"/>
                <w:szCs w:val="20"/>
              </w:rPr>
            </w:pPr>
            <w:r>
              <w:rPr>
                <w:rFonts w:ascii="Garamond" w:hAnsi="Garamond" w:cs="Garamond"/>
                <w:sz w:val="20"/>
                <w:szCs w:val="20"/>
              </w:rPr>
              <w:t>2</w:t>
            </w:r>
          </w:p>
        </w:tc>
        <w:tc>
          <w:tcPr>
            <w:tcW w:w="8334" w:type="dxa"/>
          </w:tcPr>
          <w:p w14:paraId="06A9A4C4" w14:textId="77777777" w:rsidR="00C813F8" w:rsidRDefault="00000000">
            <w:pPr>
              <w:spacing w:after="0" w:line="240" w:lineRule="auto"/>
              <w:rPr>
                <w:rFonts w:ascii="Garamond" w:hAnsi="Garamond" w:cs="Garamond"/>
                <w:sz w:val="20"/>
                <w:szCs w:val="20"/>
              </w:rPr>
            </w:pPr>
            <w:r>
              <w:rPr>
                <w:rFonts w:ascii="Garamond" w:hAnsi="Garamond" w:cs="Garamond"/>
                <w:sz w:val="20"/>
                <w:szCs w:val="20"/>
              </w:rPr>
              <w:t>Peraturan Pemerintah Nomor 19 Tahun 1995 tentang Pemeliharaan dan Pemanfaatan Benda Cagar Budaya di Museum (Lembaran Negara Republik Indonesia Tahun 1995 Nomor 35 Tambahan Lembaran Negara Republik Indonesia Nomor 3599)</w:t>
            </w:r>
          </w:p>
        </w:tc>
      </w:tr>
      <w:tr w:rsidR="00C813F8" w14:paraId="5167CAEF" w14:textId="77777777">
        <w:tc>
          <w:tcPr>
            <w:tcW w:w="816" w:type="dxa"/>
          </w:tcPr>
          <w:p w14:paraId="0B7E489D" w14:textId="77777777" w:rsidR="00C813F8" w:rsidRDefault="00000000">
            <w:pPr>
              <w:spacing w:after="0" w:line="240" w:lineRule="auto"/>
              <w:jc w:val="both"/>
              <w:rPr>
                <w:rFonts w:ascii="Garamond" w:hAnsi="Garamond" w:cs="Garamond"/>
                <w:sz w:val="20"/>
                <w:szCs w:val="20"/>
              </w:rPr>
            </w:pPr>
            <w:r>
              <w:rPr>
                <w:rFonts w:ascii="Garamond" w:hAnsi="Garamond" w:cs="Garamond"/>
                <w:sz w:val="20"/>
                <w:szCs w:val="20"/>
              </w:rPr>
              <w:t>3</w:t>
            </w:r>
          </w:p>
        </w:tc>
        <w:tc>
          <w:tcPr>
            <w:tcW w:w="8334" w:type="dxa"/>
          </w:tcPr>
          <w:p w14:paraId="06B463DD" w14:textId="77777777" w:rsidR="00C813F8" w:rsidRDefault="00000000">
            <w:pPr>
              <w:spacing w:after="0" w:line="240" w:lineRule="auto"/>
              <w:jc w:val="both"/>
              <w:rPr>
                <w:rFonts w:ascii="Garamond" w:hAnsi="Garamond" w:cs="Garamond"/>
                <w:sz w:val="20"/>
                <w:szCs w:val="20"/>
              </w:rPr>
            </w:pPr>
            <w:r>
              <w:rPr>
                <w:rFonts w:ascii="Garamond" w:hAnsi="Garamond" w:cs="Garamond"/>
                <w:sz w:val="20"/>
                <w:szCs w:val="20"/>
              </w:rPr>
              <w:t xml:space="preserve">Peraturan Presiden Nomor 78 Tahun 2007 tentang Pengesahan </w:t>
            </w:r>
            <w:r>
              <w:rPr>
                <w:rFonts w:ascii="Garamond" w:hAnsi="Garamond" w:cs="Garamond"/>
                <w:i/>
                <w:sz w:val="20"/>
                <w:szCs w:val="20"/>
              </w:rPr>
              <w:t>Convention For The Safeguarding Of The Intangible CulturalHeritage</w:t>
            </w:r>
            <w:r>
              <w:rPr>
                <w:rFonts w:ascii="Garamond" w:hAnsi="Garamond" w:cs="Garamond"/>
                <w:sz w:val="20"/>
                <w:szCs w:val="20"/>
              </w:rPr>
              <w:t xml:space="preserve"> (Konvensi dalam Perlindungan Warisan budaya Budaya Tak Benda), (Lembaran Negara Republik Indonesia Tahun 2007 Nomor 81)</w:t>
            </w:r>
          </w:p>
        </w:tc>
      </w:tr>
      <w:tr w:rsidR="00C813F8" w14:paraId="7E6A9549" w14:textId="77777777">
        <w:tc>
          <w:tcPr>
            <w:tcW w:w="816" w:type="dxa"/>
          </w:tcPr>
          <w:p w14:paraId="15E10EC4" w14:textId="77777777" w:rsidR="00C813F8" w:rsidRDefault="00000000">
            <w:pPr>
              <w:spacing w:after="0" w:line="240" w:lineRule="auto"/>
              <w:jc w:val="both"/>
              <w:rPr>
                <w:rFonts w:ascii="Garamond" w:hAnsi="Garamond" w:cs="Garamond"/>
                <w:sz w:val="20"/>
                <w:szCs w:val="20"/>
              </w:rPr>
            </w:pPr>
            <w:r>
              <w:rPr>
                <w:rFonts w:ascii="Garamond" w:hAnsi="Garamond" w:cs="Garamond"/>
                <w:sz w:val="20"/>
                <w:szCs w:val="20"/>
              </w:rPr>
              <w:t>4</w:t>
            </w:r>
          </w:p>
        </w:tc>
        <w:tc>
          <w:tcPr>
            <w:tcW w:w="8334" w:type="dxa"/>
          </w:tcPr>
          <w:p w14:paraId="760023CE" w14:textId="77777777" w:rsidR="00C813F8" w:rsidRDefault="00000000">
            <w:pPr>
              <w:pStyle w:val="H-1"/>
              <w:tabs>
                <w:tab w:val="left" w:pos="2520"/>
              </w:tabs>
              <w:ind w:left="0" w:firstLine="0"/>
              <w:rPr>
                <w:rFonts w:ascii="Garamond" w:hAnsi="Garamond" w:cs="Garamond"/>
                <w:sz w:val="20"/>
                <w:szCs w:val="20"/>
                <w:lang w:val="id-ID"/>
              </w:rPr>
            </w:pPr>
            <w:r>
              <w:rPr>
                <w:rFonts w:ascii="Garamond" w:hAnsi="Garamond" w:cs="Garamond"/>
                <w:sz w:val="20"/>
                <w:szCs w:val="20"/>
                <w:lang w:val="id-ID"/>
              </w:rPr>
              <w:t>Peraturan Menteri Dalam Negeri Nomor 39 Tahun 2007 Tentang Pedoman Fasilitasi Organisasi Kemasyarakatan Bidang Kebudayaan, Keraton, dan Lembaga Adat Dalam Pelestarian dan Pengembangan Budaya Daerah</w:t>
            </w:r>
          </w:p>
        </w:tc>
      </w:tr>
      <w:tr w:rsidR="00C813F8" w14:paraId="03062188" w14:textId="77777777">
        <w:tc>
          <w:tcPr>
            <w:tcW w:w="816" w:type="dxa"/>
          </w:tcPr>
          <w:p w14:paraId="59EE10AC" w14:textId="77777777" w:rsidR="00C813F8" w:rsidRDefault="00000000">
            <w:pPr>
              <w:spacing w:after="0" w:line="240" w:lineRule="auto"/>
              <w:jc w:val="both"/>
              <w:rPr>
                <w:rFonts w:ascii="Garamond" w:hAnsi="Garamond" w:cs="Garamond"/>
                <w:sz w:val="20"/>
                <w:szCs w:val="20"/>
              </w:rPr>
            </w:pPr>
            <w:r>
              <w:rPr>
                <w:rFonts w:ascii="Garamond" w:hAnsi="Garamond" w:cs="Garamond"/>
                <w:sz w:val="20"/>
                <w:szCs w:val="20"/>
              </w:rPr>
              <w:t>5</w:t>
            </w:r>
          </w:p>
        </w:tc>
        <w:tc>
          <w:tcPr>
            <w:tcW w:w="8334" w:type="dxa"/>
          </w:tcPr>
          <w:p w14:paraId="1D0279C4" w14:textId="77777777" w:rsidR="00C813F8" w:rsidRDefault="00000000">
            <w:pPr>
              <w:pStyle w:val="H-1"/>
              <w:tabs>
                <w:tab w:val="left" w:pos="2520"/>
              </w:tabs>
              <w:ind w:left="0" w:firstLine="0"/>
              <w:rPr>
                <w:rFonts w:ascii="Garamond" w:hAnsi="Garamond" w:cs="Garamond"/>
                <w:sz w:val="20"/>
                <w:szCs w:val="20"/>
                <w:lang w:val="id-ID"/>
              </w:rPr>
            </w:pPr>
            <w:r>
              <w:rPr>
                <w:rFonts w:ascii="Garamond" w:hAnsi="Garamond" w:cs="Garamond"/>
                <w:sz w:val="20"/>
                <w:szCs w:val="20"/>
              </w:rPr>
              <w:t xml:space="preserve">Peraturan Menteri Dalam Negeri Nomor 52 Tahun 2007 Tentang Pelestarian dan Pengembangan Adat Istiadat dan Nilai Sosial Budaya Masyarakat; </w:t>
            </w:r>
          </w:p>
        </w:tc>
      </w:tr>
      <w:tr w:rsidR="00C813F8" w14:paraId="098D7EF6" w14:textId="77777777">
        <w:tc>
          <w:tcPr>
            <w:tcW w:w="816" w:type="dxa"/>
          </w:tcPr>
          <w:p w14:paraId="1D412345" w14:textId="77777777" w:rsidR="00C813F8" w:rsidRDefault="00000000">
            <w:pPr>
              <w:spacing w:after="0" w:line="240" w:lineRule="auto"/>
              <w:jc w:val="both"/>
              <w:rPr>
                <w:rFonts w:ascii="Garamond" w:hAnsi="Garamond" w:cs="Garamond"/>
                <w:sz w:val="20"/>
                <w:szCs w:val="20"/>
              </w:rPr>
            </w:pPr>
            <w:r>
              <w:rPr>
                <w:rFonts w:ascii="Garamond" w:hAnsi="Garamond" w:cs="Garamond"/>
                <w:sz w:val="20"/>
                <w:szCs w:val="20"/>
              </w:rPr>
              <w:t>6</w:t>
            </w:r>
          </w:p>
        </w:tc>
        <w:tc>
          <w:tcPr>
            <w:tcW w:w="8334" w:type="dxa"/>
          </w:tcPr>
          <w:p w14:paraId="66F2BEC5" w14:textId="77777777" w:rsidR="00C813F8" w:rsidRDefault="00000000">
            <w:pPr>
              <w:pStyle w:val="H-1"/>
              <w:tabs>
                <w:tab w:val="left" w:pos="2520"/>
              </w:tabs>
              <w:ind w:left="0" w:firstLine="0"/>
              <w:rPr>
                <w:rFonts w:ascii="Garamond" w:hAnsi="Garamond" w:cs="Garamond"/>
                <w:sz w:val="20"/>
                <w:szCs w:val="20"/>
                <w:lang w:val="id-ID"/>
              </w:rPr>
            </w:pPr>
            <w:r>
              <w:rPr>
                <w:rFonts w:ascii="Garamond" w:hAnsi="Garamond" w:cs="Garamond"/>
                <w:sz w:val="20"/>
                <w:szCs w:val="20"/>
                <w:lang w:val="id-ID"/>
              </w:rPr>
              <w:t xml:space="preserve">Peraturan Bersama </w:t>
            </w:r>
            <w:r>
              <w:rPr>
                <w:rFonts w:ascii="Garamond" w:hAnsi="Garamond" w:cs="Garamond"/>
                <w:spacing w:val="-4"/>
                <w:sz w:val="20"/>
                <w:szCs w:val="20"/>
                <w:lang w:val="id-ID"/>
              </w:rPr>
              <w:t xml:space="preserve">Menteri Dalam Negeri Dan Menteri Kebudayaan Dan Pariwisata </w:t>
            </w:r>
            <w:r>
              <w:rPr>
                <w:rFonts w:ascii="Garamond" w:hAnsi="Garamond" w:cs="Garamond"/>
                <w:w w:val="101"/>
                <w:sz w:val="20"/>
                <w:szCs w:val="20"/>
                <w:lang w:val="id-ID"/>
              </w:rPr>
              <w:t xml:space="preserve">Nomor : 42 Tahun 2009 dan Nomor : 40 Tahun 2009 </w:t>
            </w:r>
            <w:r>
              <w:rPr>
                <w:rFonts w:ascii="Garamond" w:hAnsi="Garamond" w:cs="Garamond"/>
                <w:spacing w:val="-7"/>
                <w:sz w:val="20"/>
                <w:szCs w:val="20"/>
                <w:lang w:val="id-ID"/>
              </w:rPr>
              <w:t xml:space="preserve">tentang </w:t>
            </w:r>
            <w:r>
              <w:rPr>
                <w:rFonts w:ascii="Garamond" w:hAnsi="Garamond" w:cs="Garamond"/>
                <w:spacing w:val="-4"/>
                <w:sz w:val="20"/>
                <w:szCs w:val="20"/>
                <w:lang w:val="id-ID"/>
              </w:rPr>
              <w:t>Pedoman pelestarian kebudayaan</w:t>
            </w:r>
          </w:p>
        </w:tc>
      </w:tr>
      <w:tr w:rsidR="00C813F8" w14:paraId="56884BC6" w14:textId="77777777">
        <w:tc>
          <w:tcPr>
            <w:tcW w:w="816" w:type="dxa"/>
          </w:tcPr>
          <w:p w14:paraId="144C4C5B" w14:textId="77777777" w:rsidR="00C813F8" w:rsidRDefault="00000000">
            <w:pPr>
              <w:spacing w:after="0" w:line="240" w:lineRule="auto"/>
              <w:jc w:val="both"/>
              <w:rPr>
                <w:rFonts w:ascii="Garamond" w:hAnsi="Garamond" w:cs="Garamond"/>
                <w:sz w:val="20"/>
                <w:szCs w:val="20"/>
              </w:rPr>
            </w:pPr>
            <w:r>
              <w:rPr>
                <w:rFonts w:ascii="Garamond" w:hAnsi="Garamond" w:cs="Garamond"/>
                <w:sz w:val="20"/>
                <w:szCs w:val="20"/>
              </w:rPr>
              <w:t>7</w:t>
            </w:r>
          </w:p>
        </w:tc>
        <w:tc>
          <w:tcPr>
            <w:tcW w:w="8334" w:type="dxa"/>
          </w:tcPr>
          <w:p w14:paraId="4E1A003F" w14:textId="77777777" w:rsidR="00C813F8" w:rsidRDefault="00000000">
            <w:pPr>
              <w:pStyle w:val="H-1"/>
              <w:tabs>
                <w:tab w:val="left" w:pos="2520"/>
              </w:tabs>
              <w:ind w:left="0" w:firstLine="0"/>
              <w:rPr>
                <w:rFonts w:ascii="Garamond" w:hAnsi="Garamond" w:cs="Garamond"/>
                <w:sz w:val="20"/>
                <w:szCs w:val="20"/>
                <w:lang w:val="id-ID"/>
              </w:rPr>
            </w:pPr>
            <w:hyperlink r:id="rId16" w:tgtFrame="_blank" w:history="1">
              <w:r>
                <w:rPr>
                  <w:rStyle w:val="Hyperlink"/>
                  <w:rFonts w:ascii="Garamond" w:hAnsi="Garamond" w:cs="Garamond"/>
                  <w:color w:val="auto"/>
                  <w:sz w:val="20"/>
                  <w:szCs w:val="20"/>
                  <w:u w:val="none"/>
                  <w:lang w:val="sv-SE"/>
                </w:rPr>
                <w:t>Peraturan Pemerintah Nomor 36 Tahun 2005 tentang Peraturan Pelaksanaan Undang-Undang Nomor 28 Tahun 2002 tentang Bangunan Gedung</w:t>
              </w:r>
            </w:hyperlink>
            <w:r>
              <w:rPr>
                <w:rFonts w:ascii="Garamond" w:hAnsi="Garamond" w:cs="Garamond"/>
                <w:sz w:val="20"/>
                <w:szCs w:val="20"/>
                <w:lang w:val="sv-SE"/>
              </w:rPr>
              <w:t xml:space="preserve">. Bangunan-bangunan bersejarah sebagai warisan budaya budaya diatur pengelolaannya dalam </w:t>
            </w:r>
            <w:r>
              <w:rPr>
                <w:rFonts w:ascii="Garamond" w:hAnsi="Garamond" w:cs="Garamond"/>
                <w:sz w:val="20"/>
                <w:szCs w:val="20"/>
                <w:lang w:val="id-ID"/>
              </w:rPr>
              <w:t>P</w:t>
            </w:r>
            <w:r>
              <w:rPr>
                <w:rFonts w:ascii="Garamond" w:hAnsi="Garamond" w:cs="Garamond"/>
                <w:sz w:val="20"/>
                <w:szCs w:val="20"/>
                <w:lang w:val="sv-SE"/>
              </w:rPr>
              <w:t xml:space="preserve">asal 22, 23, 25, 28,  dan </w:t>
            </w:r>
            <w:r>
              <w:rPr>
                <w:rFonts w:ascii="Garamond" w:hAnsi="Garamond" w:cs="Garamond"/>
                <w:sz w:val="20"/>
                <w:szCs w:val="20"/>
                <w:lang w:val="id-ID"/>
              </w:rPr>
              <w:t>P</w:t>
            </w:r>
            <w:r>
              <w:rPr>
                <w:rFonts w:ascii="Garamond" w:hAnsi="Garamond" w:cs="Garamond"/>
                <w:sz w:val="20"/>
                <w:szCs w:val="20"/>
                <w:lang w:val="sv-SE"/>
              </w:rPr>
              <w:t>asal 83 hingga 89</w:t>
            </w:r>
            <w:r>
              <w:rPr>
                <w:rFonts w:ascii="Garamond" w:hAnsi="Garamond" w:cs="Garamond"/>
                <w:sz w:val="20"/>
                <w:szCs w:val="20"/>
                <w:lang w:val="id-ID"/>
              </w:rPr>
              <w:t>.</w:t>
            </w:r>
          </w:p>
        </w:tc>
      </w:tr>
      <w:tr w:rsidR="00C813F8" w14:paraId="7EB26411" w14:textId="77777777">
        <w:tc>
          <w:tcPr>
            <w:tcW w:w="816" w:type="dxa"/>
          </w:tcPr>
          <w:p w14:paraId="45CFD16E" w14:textId="77777777" w:rsidR="00C813F8" w:rsidRDefault="00000000">
            <w:pPr>
              <w:spacing w:after="0" w:line="240" w:lineRule="auto"/>
              <w:jc w:val="both"/>
              <w:rPr>
                <w:rFonts w:ascii="Garamond" w:hAnsi="Garamond" w:cs="Garamond"/>
                <w:sz w:val="20"/>
                <w:szCs w:val="20"/>
              </w:rPr>
            </w:pPr>
            <w:r>
              <w:rPr>
                <w:rFonts w:ascii="Garamond" w:hAnsi="Garamond" w:cs="Garamond"/>
                <w:sz w:val="20"/>
                <w:szCs w:val="20"/>
              </w:rPr>
              <w:t>8</w:t>
            </w:r>
          </w:p>
        </w:tc>
        <w:tc>
          <w:tcPr>
            <w:tcW w:w="8334" w:type="dxa"/>
          </w:tcPr>
          <w:p w14:paraId="50A25562" w14:textId="77777777" w:rsidR="00C813F8" w:rsidRDefault="00000000">
            <w:pPr>
              <w:spacing w:after="0" w:line="240" w:lineRule="auto"/>
              <w:jc w:val="both"/>
              <w:rPr>
                <w:rFonts w:ascii="Garamond" w:hAnsi="Garamond" w:cs="Garamond"/>
                <w:sz w:val="20"/>
                <w:szCs w:val="20"/>
                <w:lang w:val="en-US"/>
              </w:rPr>
            </w:pPr>
            <w:r>
              <w:rPr>
                <w:rFonts w:ascii="Garamond" w:hAnsi="Garamond" w:cs="Garamond"/>
                <w:sz w:val="20"/>
                <w:szCs w:val="20"/>
              </w:rPr>
              <w:t>Peraturan pemerintah Republik Indonesia nomor 26 tahun 2008 tentang Rencana Tata Ruang Wilayah Nasional. Pengelolaan warisan budaya budaya yang berhubungan dengan perencanaan tata ruang nasional dalam peraturan ini diatur dalam Pasal 1, 6, 8, 9, 50,51,52,53,54,57, 63, 70, 75, 78,86,88,101,104, dan 112</w:t>
            </w:r>
            <w:r>
              <w:rPr>
                <w:rFonts w:ascii="Garamond" w:hAnsi="Garamond" w:cs="Garamond"/>
                <w:sz w:val="20"/>
                <w:szCs w:val="20"/>
                <w:lang w:val="en-US"/>
              </w:rPr>
              <w:t>.</w:t>
            </w:r>
          </w:p>
        </w:tc>
      </w:tr>
    </w:tbl>
    <w:p w14:paraId="1CB5EDB8" w14:textId="77777777" w:rsidR="00C813F8" w:rsidRDefault="00C813F8">
      <w:pPr>
        <w:spacing w:after="0" w:line="240" w:lineRule="auto"/>
        <w:jc w:val="both"/>
        <w:rPr>
          <w:rFonts w:ascii="Garamond" w:eastAsia="Times New Roman" w:hAnsi="Garamond" w:cs="Garamond"/>
          <w:sz w:val="22"/>
        </w:rPr>
      </w:pPr>
    </w:p>
    <w:p w14:paraId="0A6D63F8" w14:textId="77777777" w:rsidR="00C813F8" w:rsidRDefault="00000000">
      <w:pPr>
        <w:pStyle w:val="ListParagraph"/>
        <w:spacing w:after="0" w:line="240" w:lineRule="auto"/>
        <w:ind w:left="0" w:firstLine="720"/>
        <w:jc w:val="both"/>
        <w:rPr>
          <w:rFonts w:ascii="Garamond" w:hAnsi="Garamond" w:cs="Garamond"/>
          <w:sz w:val="22"/>
          <w:lang w:val="en-US"/>
        </w:rPr>
      </w:pPr>
      <w:r>
        <w:rPr>
          <w:rFonts w:ascii="Garamond" w:hAnsi="Garamond" w:cs="Garamond"/>
          <w:sz w:val="22"/>
        </w:rPr>
        <w:t>Terkait dengan konsep desentralisasi perlindungan dan pelestarian warisan budaya di Indonesia seperti yang dinyatakan dalam UU No.11/2010 maka hal ini telah disinkronkan dengan Undang-Undang No.32 tahun 2004 tentang Pemerintahan Daerah (direvisi menjadi Undang-Undang Pemerintahan Daerah No.12 tahun 2008). Kemudian pelaksanaannya diatur dalam beberapa peraturan pemerintah dalam tabel berikut dibawah ini</w:t>
      </w:r>
      <w:r>
        <w:rPr>
          <w:rFonts w:ascii="Garamond" w:hAnsi="Garamond" w:cs="Garamond"/>
          <w:sz w:val="22"/>
          <w:lang w:val="en-US"/>
        </w:rPr>
        <w:t xml:space="preserve"> :</w:t>
      </w:r>
    </w:p>
    <w:p w14:paraId="21A0D672" w14:textId="77777777" w:rsidR="00C813F8" w:rsidRDefault="00C813F8">
      <w:pPr>
        <w:pStyle w:val="ListParagraph"/>
        <w:spacing w:after="0" w:line="240" w:lineRule="auto"/>
        <w:ind w:left="0" w:firstLine="720"/>
        <w:jc w:val="center"/>
        <w:rPr>
          <w:rFonts w:ascii="Garamond" w:hAnsi="Garamond" w:cs="Garamond"/>
          <w:sz w:val="20"/>
          <w:szCs w:val="20"/>
          <w:lang w:val="en-US"/>
        </w:rPr>
      </w:pPr>
    </w:p>
    <w:p w14:paraId="324F937B" w14:textId="77777777" w:rsidR="00C813F8" w:rsidRDefault="00000000">
      <w:pPr>
        <w:pStyle w:val="ListParagraph"/>
        <w:spacing w:after="0" w:line="240" w:lineRule="auto"/>
        <w:ind w:left="489"/>
        <w:jc w:val="center"/>
        <w:rPr>
          <w:rFonts w:ascii="Times New Roman" w:hAnsi="Times New Roman"/>
        </w:rPr>
      </w:pPr>
      <w:r>
        <w:rPr>
          <w:rFonts w:ascii="Garamond" w:hAnsi="Garamond" w:cs="Garamond"/>
          <w:sz w:val="20"/>
          <w:szCs w:val="20"/>
        </w:rPr>
        <w:t>Tabel 3. Tabel Peraturan Pemerintah tentang pelaksanaan penyelenggaraan Pemerintahan Daerah</w:t>
      </w:r>
    </w:p>
    <w:tbl>
      <w:tblPr>
        <w:tblStyle w:val="TableGrid"/>
        <w:tblW w:w="0" w:type="auto"/>
        <w:tblInd w:w="161" w:type="dxa"/>
        <w:tblLook w:val="04A0" w:firstRow="1" w:lastRow="0" w:firstColumn="1" w:lastColumn="0" w:noHBand="0" w:noVBand="1"/>
      </w:tblPr>
      <w:tblGrid>
        <w:gridCol w:w="635"/>
        <w:gridCol w:w="8186"/>
      </w:tblGrid>
      <w:tr w:rsidR="00C813F8" w14:paraId="7B1DA01D" w14:textId="77777777">
        <w:tc>
          <w:tcPr>
            <w:tcW w:w="640" w:type="dxa"/>
          </w:tcPr>
          <w:p w14:paraId="31D994C6" w14:textId="77777777" w:rsidR="00C813F8" w:rsidRDefault="00000000">
            <w:pPr>
              <w:spacing w:after="0" w:line="240" w:lineRule="auto"/>
              <w:jc w:val="center"/>
              <w:rPr>
                <w:rFonts w:ascii="Garamond" w:hAnsi="Garamond" w:cs="Garamond"/>
                <w:sz w:val="20"/>
                <w:szCs w:val="20"/>
              </w:rPr>
            </w:pPr>
            <w:r>
              <w:rPr>
                <w:rFonts w:ascii="Garamond" w:hAnsi="Garamond" w:cs="Garamond"/>
                <w:sz w:val="20"/>
                <w:szCs w:val="20"/>
              </w:rPr>
              <w:t>No.</w:t>
            </w:r>
          </w:p>
        </w:tc>
        <w:tc>
          <w:tcPr>
            <w:tcW w:w="8441" w:type="dxa"/>
          </w:tcPr>
          <w:p w14:paraId="032D4786" w14:textId="77777777" w:rsidR="00C813F8" w:rsidRDefault="00000000">
            <w:pPr>
              <w:pStyle w:val="H-1"/>
              <w:tabs>
                <w:tab w:val="clear" w:pos="1890"/>
                <w:tab w:val="clear" w:pos="2160"/>
                <w:tab w:val="left" w:pos="2520"/>
              </w:tabs>
              <w:ind w:left="0" w:firstLine="0"/>
              <w:jc w:val="center"/>
              <w:rPr>
                <w:rFonts w:ascii="Garamond" w:hAnsi="Garamond" w:cs="Garamond"/>
                <w:sz w:val="20"/>
                <w:szCs w:val="20"/>
                <w:lang w:val="id-ID"/>
              </w:rPr>
            </w:pPr>
            <w:r>
              <w:rPr>
                <w:rFonts w:ascii="Garamond" w:hAnsi="Garamond" w:cs="Garamond"/>
                <w:sz w:val="20"/>
                <w:szCs w:val="20"/>
                <w:lang w:val="id-ID"/>
              </w:rPr>
              <w:t>Nama Peraturan</w:t>
            </w:r>
          </w:p>
        </w:tc>
      </w:tr>
      <w:tr w:rsidR="00C813F8" w14:paraId="40B506C2" w14:textId="77777777">
        <w:tc>
          <w:tcPr>
            <w:tcW w:w="640" w:type="dxa"/>
          </w:tcPr>
          <w:p w14:paraId="3A9480D5" w14:textId="77777777" w:rsidR="00C813F8" w:rsidRDefault="00000000">
            <w:pPr>
              <w:spacing w:after="0" w:line="240" w:lineRule="auto"/>
              <w:jc w:val="both"/>
              <w:rPr>
                <w:rFonts w:ascii="Garamond" w:hAnsi="Garamond" w:cs="Garamond"/>
                <w:sz w:val="20"/>
                <w:szCs w:val="20"/>
              </w:rPr>
            </w:pPr>
            <w:r>
              <w:rPr>
                <w:rFonts w:ascii="Garamond" w:hAnsi="Garamond" w:cs="Garamond"/>
                <w:sz w:val="20"/>
                <w:szCs w:val="20"/>
              </w:rPr>
              <w:t>1</w:t>
            </w:r>
          </w:p>
        </w:tc>
        <w:tc>
          <w:tcPr>
            <w:tcW w:w="8441" w:type="dxa"/>
          </w:tcPr>
          <w:p w14:paraId="6E1F455E" w14:textId="77777777" w:rsidR="00C813F8" w:rsidRDefault="00000000">
            <w:pPr>
              <w:pStyle w:val="H-1"/>
              <w:tabs>
                <w:tab w:val="clear" w:pos="1890"/>
                <w:tab w:val="clear" w:pos="2160"/>
                <w:tab w:val="left" w:pos="2520"/>
              </w:tabs>
              <w:ind w:left="0" w:firstLine="0"/>
              <w:rPr>
                <w:rFonts w:ascii="Garamond" w:hAnsi="Garamond" w:cs="Garamond"/>
                <w:sz w:val="20"/>
                <w:szCs w:val="20"/>
                <w:lang w:val="id-ID"/>
              </w:rPr>
            </w:pPr>
            <w:r>
              <w:rPr>
                <w:rFonts w:ascii="Garamond" w:hAnsi="Garamond" w:cs="Garamond"/>
                <w:sz w:val="20"/>
                <w:szCs w:val="20"/>
                <w:lang w:val="id-ID"/>
              </w:rPr>
              <w:t>P</w:t>
            </w:r>
            <w:r>
              <w:rPr>
                <w:rFonts w:ascii="Garamond" w:hAnsi="Garamond" w:cs="Garamond"/>
                <w:sz w:val="20"/>
                <w:szCs w:val="20"/>
              </w:rPr>
              <w:t xml:space="preserve">eraturan Pemerintah </w:t>
            </w:r>
            <w:r>
              <w:rPr>
                <w:rFonts w:ascii="Garamond" w:hAnsi="Garamond" w:cs="Garamond"/>
                <w:sz w:val="20"/>
                <w:szCs w:val="20"/>
                <w:lang w:val="id-ID"/>
              </w:rPr>
              <w:t xml:space="preserve">No.38 tahun 2007 tentang Pembagian Urusan Pemerintah Daerah. Pasal-pasal yang berkaitan dengan warisan budaya budaya dan pengelolaannya termaktub dalam Pasal 2 ayat (4), kebudayaan dan pariwisata adalah bagian dari urusan pemerintahan daerah. Pasal 7 ayat (2), kebudayaan menjadi urusan wajib pemerintahan daerah, sedangkan pariwisata menjadi urusan pilihan. </w:t>
            </w:r>
          </w:p>
        </w:tc>
      </w:tr>
      <w:tr w:rsidR="00C813F8" w14:paraId="2CF7084E" w14:textId="77777777">
        <w:tc>
          <w:tcPr>
            <w:tcW w:w="640" w:type="dxa"/>
          </w:tcPr>
          <w:p w14:paraId="7BD1119F" w14:textId="77777777" w:rsidR="00C813F8" w:rsidRDefault="00000000">
            <w:pPr>
              <w:spacing w:after="0" w:line="240" w:lineRule="auto"/>
              <w:jc w:val="both"/>
              <w:rPr>
                <w:rFonts w:ascii="Garamond" w:hAnsi="Garamond" w:cs="Garamond"/>
                <w:sz w:val="20"/>
                <w:szCs w:val="20"/>
              </w:rPr>
            </w:pPr>
            <w:r>
              <w:rPr>
                <w:rFonts w:ascii="Garamond" w:hAnsi="Garamond" w:cs="Garamond"/>
                <w:sz w:val="20"/>
                <w:szCs w:val="20"/>
              </w:rPr>
              <w:lastRenderedPageBreak/>
              <w:t>2</w:t>
            </w:r>
          </w:p>
        </w:tc>
        <w:tc>
          <w:tcPr>
            <w:tcW w:w="8441" w:type="dxa"/>
          </w:tcPr>
          <w:p w14:paraId="1E9DF61A" w14:textId="77777777" w:rsidR="00C813F8" w:rsidRDefault="00000000">
            <w:pPr>
              <w:pStyle w:val="H-1"/>
              <w:tabs>
                <w:tab w:val="left" w:pos="2520"/>
              </w:tabs>
              <w:ind w:left="0" w:firstLine="0"/>
              <w:rPr>
                <w:rFonts w:ascii="Garamond" w:hAnsi="Garamond" w:cs="Garamond"/>
                <w:sz w:val="20"/>
                <w:szCs w:val="20"/>
                <w:lang w:val="id-ID"/>
              </w:rPr>
            </w:pPr>
            <w:r>
              <w:rPr>
                <w:rFonts w:ascii="Garamond" w:hAnsi="Garamond" w:cs="Garamond"/>
                <w:sz w:val="20"/>
                <w:szCs w:val="20"/>
                <w:lang w:val="id-ID"/>
              </w:rPr>
              <w:t>Peraturan Pemerintah Nomor 25 tahun 2000 Tentang Kewenangan Pemerintah dan Kewenangan Propinsi Sebagai Daerah Otonom Peraturan Pemerintah No.41 tahun 2007 tentang Organisasi Perangkat Daerah (sebelumnya Peraturan Pemerintah Nomor 8 Tahun 2003 tentang Pedoman Organisasi Perangkat Daerah</w:t>
            </w:r>
          </w:p>
        </w:tc>
      </w:tr>
      <w:tr w:rsidR="00C813F8" w14:paraId="39951D41" w14:textId="77777777">
        <w:tc>
          <w:tcPr>
            <w:tcW w:w="640" w:type="dxa"/>
          </w:tcPr>
          <w:p w14:paraId="1C066F68" w14:textId="77777777" w:rsidR="00C813F8" w:rsidRDefault="00000000">
            <w:pPr>
              <w:spacing w:after="0" w:line="240" w:lineRule="auto"/>
              <w:jc w:val="both"/>
              <w:rPr>
                <w:rFonts w:ascii="Garamond" w:hAnsi="Garamond" w:cs="Garamond"/>
                <w:sz w:val="20"/>
                <w:szCs w:val="20"/>
              </w:rPr>
            </w:pPr>
            <w:r>
              <w:rPr>
                <w:rFonts w:ascii="Garamond" w:hAnsi="Garamond" w:cs="Garamond"/>
                <w:sz w:val="20"/>
                <w:szCs w:val="20"/>
              </w:rPr>
              <w:t>3</w:t>
            </w:r>
          </w:p>
        </w:tc>
        <w:tc>
          <w:tcPr>
            <w:tcW w:w="8441" w:type="dxa"/>
          </w:tcPr>
          <w:p w14:paraId="3DEC9ECE" w14:textId="77777777" w:rsidR="00C813F8" w:rsidRDefault="00000000">
            <w:pPr>
              <w:pStyle w:val="H-1"/>
              <w:tabs>
                <w:tab w:val="left" w:pos="2520"/>
              </w:tabs>
              <w:ind w:left="0" w:firstLine="0"/>
              <w:rPr>
                <w:rFonts w:ascii="Garamond" w:hAnsi="Garamond" w:cs="Garamond"/>
                <w:sz w:val="20"/>
                <w:szCs w:val="20"/>
                <w:lang w:val="id-ID"/>
              </w:rPr>
            </w:pPr>
            <w:r>
              <w:rPr>
                <w:rFonts w:ascii="Garamond" w:hAnsi="Garamond" w:cs="Garamond"/>
                <w:sz w:val="20"/>
                <w:szCs w:val="20"/>
              </w:rPr>
              <w:t xml:space="preserve">Peraturan </w:t>
            </w:r>
            <w:r>
              <w:rPr>
                <w:rFonts w:ascii="Garamond" w:hAnsi="Garamond" w:cs="Garamond"/>
                <w:sz w:val="20"/>
                <w:szCs w:val="20"/>
                <w:lang w:val="id-ID"/>
              </w:rPr>
              <w:t>M</w:t>
            </w:r>
            <w:r>
              <w:rPr>
                <w:rFonts w:ascii="Garamond" w:hAnsi="Garamond" w:cs="Garamond"/>
                <w:sz w:val="20"/>
                <w:szCs w:val="20"/>
              </w:rPr>
              <w:t xml:space="preserve">enteri </w:t>
            </w:r>
            <w:r>
              <w:rPr>
                <w:rFonts w:ascii="Garamond" w:hAnsi="Garamond" w:cs="Garamond"/>
                <w:sz w:val="20"/>
                <w:szCs w:val="20"/>
                <w:lang w:val="id-ID"/>
              </w:rPr>
              <w:t>D</w:t>
            </w:r>
            <w:r>
              <w:rPr>
                <w:rFonts w:ascii="Garamond" w:hAnsi="Garamond" w:cs="Garamond"/>
                <w:sz w:val="20"/>
                <w:szCs w:val="20"/>
              </w:rPr>
              <w:t xml:space="preserve">alam </w:t>
            </w:r>
            <w:r>
              <w:rPr>
                <w:rFonts w:ascii="Garamond" w:hAnsi="Garamond" w:cs="Garamond"/>
                <w:sz w:val="20"/>
                <w:szCs w:val="20"/>
                <w:lang w:val="id-ID"/>
              </w:rPr>
              <w:t>N</w:t>
            </w:r>
            <w:r>
              <w:rPr>
                <w:rFonts w:ascii="Garamond" w:hAnsi="Garamond" w:cs="Garamond"/>
                <w:sz w:val="20"/>
                <w:szCs w:val="20"/>
              </w:rPr>
              <w:t>egeri Nomor 57 tahun 2007 tentang Petunjuk teknis Penataan organisasi perangkat daerah.</w:t>
            </w:r>
          </w:p>
        </w:tc>
      </w:tr>
    </w:tbl>
    <w:p w14:paraId="289006FA" w14:textId="77777777" w:rsidR="00C813F8" w:rsidRDefault="00C813F8">
      <w:pPr>
        <w:spacing w:after="0" w:line="240" w:lineRule="auto"/>
        <w:jc w:val="both"/>
        <w:rPr>
          <w:rFonts w:ascii="Garamond" w:eastAsia="Times New Roman" w:hAnsi="Garamond" w:cs="Garamond"/>
          <w:sz w:val="22"/>
        </w:rPr>
      </w:pPr>
    </w:p>
    <w:p w14:paraId="38687FC9" w14:textId="77777777" w:rsidR="00C813F8" w:rsidRDefault="00000000">
      <w:pPr>
        <w:pStyle w:val="H-1"/>
        <w:tabs>
          <w:tab w:val="clear" w:pos="1890"/>
          <w:tab w:val="clear" w:pos="2160"/>
        </w:tabs>
        <w:ind w:left="0" w:firstLine="720"/>
        <w:rPr>
          <w:rFonts w:ascii="Garamond" w:hAnsi="Garamond" w:cs="Garamond"/>
          <w:sz w:val="22"/>
        </w:rPr>
      </w:pPr>
      <w:r>
        <w:rPr>
          <w:rFonts w:ascii="Garamond" w:hAnsi="Garamond" w:cs="Garamond"/>
          <w:sz w:val="22"/>
          <w:lang w:val="id-ID"/>
        </w:rPr>
        <w:t>Sementara itu, Undang-undang Perlindungan dan Pengelolaan Lingkungan Hidup No.32 tahun 2014 lebih mengarah kepada perlindungan lingkungan dan ekosistem serta warisan alam, sehingga agak kurang relevan dengan perlindungan cagar budaya.Secara singkat, konsep dan konten undang-undang yang mengatur tentang perlindungan cagar budaya di Indonesia diperlihatkan dalam tabel berikut ini</w:t>
      </w:r>
      <w:r>
        <w:rPr>
          <w:rFonts w:ascii="Garamond" w:hAnsi="Garamond" w:cs="Garamond"/>
          <w:sz w:val="22"/>
        </w:rPr>
        <w:t xml:space="preserve"> :</w:t>
      </w:r>
    </w:p>
    <w:p w14:paraId="1BFB0921" w14:textId="77777777" w:rsidR="00C813F8" w:rsidRDefault="00C813F8">
      <w:pPr>
        <w:pStyle w:val="H-1"/>
        <w:tabs>
          <w:tab w:val="clear" w:pos="1890"/>
          <w:tab w:val="clear" w:pos="2160"/>
        </w:tabs>
        <w:ind w:left="0" w:firstLine="720"/>
        <w:rPr>
          <w:rFonts w:ascii="Garamond" w:hAnsi="Garamond" w:cs="Garamond"/>
          <w:sz w:val="22"/>
        </w:rPr>
      </w:pPr>
    </w:p>
    <w:p w14:paraId="0899F8EE" w14:textId="77777777" w:rsidR="00C813F8" w:rsidRDefault="00000000">
      <w:pPr>
        <w:pStyle w:val="ListParagraph"/>
        <w:spacing w:after="0" w:line="240" w:lineRule="auto"/>
        <w:ind w:left="489"/>
        <w:jc w:val="center"/>
        <w:rPr>
          <w:rFonts w:ascii="Garamond" w:hAnsi="Garamond" w:cs="Garamond"/>
          <w:sz w:val="20"/>
          <w:szCs w:val="20"/>
        </w:rPr>
      </w:pPr>
      <w:r>
        <w:rPr>
          <w:rFonts w:ascii="Garamond" w:hAnsi="Garamond" w:cs="Garamond"/>
          <w:sz w:val="20"/>
          <w:szCs w:val="20"/>
        </w:rPr>
        <w:t>Tabel 4. Konsep dan lingkup undang-undang yang mengatur tentang perlindungan cagar budaya di Indonesia saat ini</w:t>
      </w:r>
    </w:p>
    <w:tbl>
      <w:tblPr>
        <w:tblStyle w:val="TableGrid"/>
        <w:tblW w:w="0" w:type="auto"/>
        <w:tblInd w:w="174" w:type="dxa"/>
        <w:tblLook w:val="04A0" w:firstRow="1" w:lastRow="0" w:firstColumn="1" w:lastColumn="0" w:noHBand="0" w:noVBand="1"/>
      </w:tblPr>
      <w:tblGrid>
        <w:gridCol w:w="2054"/>
        <w:gridCol w:w="1677"/>
        <w:gridCol w:w="1670"/>
        <w:gridCol w:w="1758"/>
        <w:gridCol w:w="1649"/>
      </w:tblGrid>
      <w:tr w:rsidR="00C813F8" w14:paraId="7FD37BAC" w14:textId="77777777">
        <w:tc>
          <w:tcPr>
            <w:tcW w:w="2146" w:type="dxa"/>
            <w:vAlign w:val="center"/>
          </w:tcPr>
          <w:p w14:paraId="15EF6FF2" w14:textId="77777777" w:rsidR="00C813F8" w:rsidRDefault="00000000">
            <w:pPr>
              <w:pStyle w:val="ListParagraph"/>
              <w:spacing w:after="0" w:line="240" w:lineRule="auto"/>
              <w:ind w:left="0"/>
              <w:jc w:val="center"/>
              <w:rPr>
                <w:rFonts w:ascii="Garamond" w:hAnsi="Garamond" w:cs="Garamond"/>
                <w:b/>
                <w:sz w:val="20"/>
                <w:szCs w:val="20"/>
              </w:rPr>
            </w:pPr>
            <w:r>
              <w:rPr>
                <w:rFonts w:ascii="Garamond" w:hAnsi="Garamond" w:cs="Garamond"/>
                <w:b/>
                <w:sz w:val="20"/>
                <w:szCs w:val="20"/>
              </w:rPr>
              <w:t>Nama Undang-Undang</w:t>
            </w:r>
          </w:p>
        </w:tc>
        <w:tc>
          <w:tcPr>
            <w:tcW w:w="1703" w:type="dxa"/>
            <w:vAlign w:val="center"/>
          </w:tcPr>
          <w:p w14:paraId="1DA65435" w14:textId="77777777" w:rsidR="00C813F8" w:rsidRDefault="00000000">
            <w:pPr>
              <w:pStyle w:val="ListParagraph"/>
              <w:spacing w:after="0" w:line="240" w:lineRule="auto"/>
              <w:ind w:left="0"/>
              <w:jc w:val="center"/>
              <w:rPr>
                <w:rFonts w:ascii="Garamond" w:hAnsi="Garamond" w:cs="Garamond"/>
                <w:b/>
                <w:sz w:val="20"/>
                <w:szCs w:val="20"/>
              </w:rPr>
            </w:pPr>
            <w:r>
              <w:rPr>
                <w:rFonts w:ascii="Garamond" w:hAnsi="Garamond" w:cs="Garamond"/>
                <w:b/>
                <w:sz w:val="20"/>
                <w:szCs w:val="20"/>
              </w:rPr>
              <w:t>UUNo.11/2010</w:t>
            </w:r>
          </w:p>
        </w:tc>
        <w:tc>
          <w:tcPr>
            <w:tcW w:w="1729" w:type="dxa"/>
            <w:vAlign w:val="center"/>
          </w:tcPr>
          <w:p w14:paraId="10F93F10" w14:textId="77777777" w:rsidR="00C813F8" w:rsidRDefault="00000000">
            <w:pPr>
              <w:pStyle w:val="ListParagraph"/>
              <w:spacing w:after="0" w:line="240" w:lineRule="auto"/>
              <w:ind w:left="0"/>
              <w:jc w:val="center"/>
              <w:rPr>
                <w:rFonts w:ascii="Garamond" w:hAnsi="Garamond" w:cs="Garamond"/>
                <w:b/>
                <w:sz w:val="20"/>
                <w:szCs w:val="20"/>
              </w:rPr>
            </w:pPr>
            <w:r>
              <w:rPr>
                <w:rFonts w:ascii="Garamond" w:hAnsi="Garamond" w:cs="Garamond"/>
                <w:b/>
                <w:sz w:val="20"/>
                <w:szCs w:val="20"/>
              </w:rPr>
              <w:t>UU No.28/2002</w:t>
            </w:r>
          </w:p>
        </w:tc>
        <w:tc>
          <w:tcPr>
            <w:tcW w:w="1799" w:type="dxa"/>
            <w:vAlign w:val="center"/>
          </w:tcPr>
          <w:p w14:paraId="44F4F911" w14:textId="77777777" w:rsidR="00C813F8" w:rsidRDefault="00000000">
            <w:pPr>
              <w:pStyle w:val="ListParagraph"/>
              <w:spacing w:after="0" w:line="240" w:lineRule="auto"/>
              <w:ind w:left="0"/>
              <w:jc w:val="center"/>
              <w:rPr>
                <w:rFonts w:ascii="Garamond" w:hAnsi="Garamond" w:cs="Garamond"/>
                <w:b/>
                <w:sz w:val="20"/>
                <w:szCs w:val="20"/>
              </w:rPr>
            </w:pPr>
            <w:r>
              <w:rPr>
                <w:rFonts w:ascii="Garamond" w:hAnsi="Garamond" w:cs="Garamond"/>
                <w:b/>
                <w:sz w:val="20"/>
                <w:szCs w:val="20"/>
              </w:rPr>
              <w:t>UU No.26/2007</w:t>
            </w:r>
          </w:p>
        </w:tc>
        <w:tc>
          <w:tcPr>
            <w:tcW w:w="1691" w:type="dxa"/>
            <w:vAlign w:val="center"/>
          </w:tcPr>
          <w:p w14:paraId="0503DA1F" w14:textId="77777777" w:rsidR="00C813F8" w:rsidRDefault="00000000">
            <w:pPr>
              <w:pStyle w:val="ListParagraph"/>
              <w:spacing w:after="0" w:line="240" w:lineRule="auto"/>
              <w:ind w:left="0"/>
              <w:jc w:val="center"/>
              <w:rPr>
                <w:rFonts w:ascii="Garamond" w:hAnsi="Garamond" w:cs="Garamond"/>
                <w:b/>
                <w:sz w:val="20"/>
                <w:szCs w:val="20"/>
              </w:rPr>
            </w:pPr>
            <w:r>
              <w:rPr>
                <w:rFonts w:ascii="Garamond" w:hAnsi="Garamond" w:cs="Garamond"/>
                <w:b/>
                <w:sz w:val="20"/>
                <w:szCs w:val="20"/>
              </w:rPr>
              <w:t>UU No.10/2009</w:t>
            </w:r>
          </w:p>
        </w:tc>
      </w:tr>
      <w:tr w:rsidR="00C813F8" w14:paraId="249F86EC" w14:textId="77777777">
        <w:tc>
          <w:tcPr>
            <w:tcW w:w="2146" w:type="dxa"/>
            <w:vAlign w:val="center"/>
          </w:tcPr>
          <w:p w14:paraId="6F3C8053" w14:textId="77777777" w:rsidR="00C813F8" w:rsidRDefault="00000000">
            <w:pPr>
              <w:pStyle w:val="ListParagraph"/>
              <w:spacing w:after="0" w:line="240" w:lineRule="auto"/>
              <w:ind w:left="0"/>
              <w:jc w:val="center"/>
              <w:rPr>
                <w:rFonts w:ascii="Garamond" w:hAnsi="Garamond" w:cs="Garamond"/>
                <w:b/>
                <w:sz w:val="20"/>
                <w:szCs w:val="20"/>
              </w:rPr>
            </w:pPr>
            <w:r>
              <w:rPr>
                <w:rFonts w:ascii="Garamond" w:hAnsi="Garamond" w:cs="Garamond"/>
                <w:b/>
                <w:sz w:val="20"/>
                <w:szCs w:val="20"/>
              </w:rPr>
              <w:t>Item dan Lingkup perlindungan terhadap cagar budaya</w:t>
            </w:r>
          </w:p>
        </w:tc>
        <w:tc>
          <w:tcPr>
            <w:tcW w:w="1703" w:type="dxa"/>
            <w:vAlign w:val="center"/>
          </w:tcPr>
          <w:p w14:paraId="7F13E051" w14:textId="77777777" w:rsidR="00C813F8" w:rsidRDefault="00000000">
            <w:pPr>
              <w:pStyle w:val="ListParagraph"/>
              <w:spacing w:after="0" w:line="240" w:lineRule="auto"/>
              <w:ind w:left="0"/>
              <w:jc w:val="center"/>
              <w:rPr>
                <w:rFonts w:ascii="Garamond" w:hAnsi="Garamond" w:cs="Garamond"/>
                <w:sz w:val="20"/>
                <w:szCs w:val="20"/>
              </w:rPr>
            </w:pPr>
            <w:r>
              <w:rPr>
                <w:rFonts w:ascii="Garamond" w:hAnsi="Garamond" w:cs="Garamond"/>
                <w:sz w:val="20"/>
                <w:szCs w:val="20"/>
              </w:rPr>
              <w:t>Benda (Tangible), termasuk, benda yg bergerak dan tidak bergerak, kawasan dan situs</w:t>
            </w:r>
          </w:p>
          <w:p w14:paraId="3891807B" w14:textId="77777777" w:rsidR="00C813F8" w:rsidRDefault="00C813F8">
            <w:pPr>
              <w:pStyle w:val="ListParagraph"/>
              <w:spacing w:after="0" w:line="240" w:lineRule="auto"/>
              <w:ind w:left="0"/>
              <w:jc w:val="center"/>
              <w:rPr>
                <w:rFonts w:ascii="Garamond" w:hAnsi="Garamond" w:cs="Garamond"/>
                <w:sz w:val="20"/>
                <w:szCs w:val="20"/>
              </w:rPr>
            </w:pPr>
          </w:p>
        </w:tc>
        <w:tc>
          <w:tcPr>
            <w:tcW w:w="1729" w:type="dxa"/>
            <w:vAlign w:val="center"/>
          </w:tcPr>
          <w:p w14:paraId="40FACEAB" w14:textId="77777777" w:rsidR="00C813F8" w:rsidRDefault="00000000">
            <w:pPr>
              <w:pStyle w:val="ListParagraph"/>
              <w:spacing w:after="0" w:line="240" w:lineRule="auto"/>
              <w:ind w:left="0"/>
              <w:jc w:val="center"/>
              <w:rPr>
                <w:rFonts w:ascii="Garamond" w:hAnsi="Garamond" w:cs="Garamond"/>
                <w:sz w:val="20"/>
                <w:szCs w:val="20"/>
              </w:rPr>
            </w:pPr>
            <w:r>
              <w:rPr>
                <w:rFonts w:ascii="Garamond" w:hAnsi="Garamond" w:cs="Garamond"/>
                <w:sz w:val="20"/>
                <w:szCs w:val="20"/>
              </w:rPr>
              <w:t>Benda yang tidak bergerak (Bangunan)</w:t>
            </w:r>
          </w:p>
        </w:tc>
        <w:tc>
          <w:tcPr>
            <w:tcW w:w="1799" w:type="dxa"/>
            <w:vAlign w:val="center"/>
          </w:tcPr>
          <w:p w14:paraId="70D743BF" w14:textId="77777777" w:rsidR="00C813F8" w:rsidRDefault="00000000">
            <w:pPr>
              <w:pStyle w:val="ListParagraph"/>
              <w:spacing w:after="0" w:line="240" w:lineRule="auto"/>
              <w:ind w:left="0"/>
              <w:jc w:val="center"/>
              <w:rPr>
                <w:rFonts w:ascii="Garamond" w:hAnsi="Garamond" w:cs="Garamond"/>
                <w:sz w:val="20"/>
                <w:szCs w:val="20"/>
              </w:rPr>
            </w:pPr>
            <w:r>
              <w:rPr>
                <w:rFonts w:ascii="Garamond" w:hAnsi="Garamond" w:cs="Garamond"/>
                <w:sz w:val="20"/>
                <w:szCs w:val="20"/>
              </w:rPr>
              <w:t>Kawasan bersejarah atau kawasan strategi budaya</w:t>
            </w:r>
          </w:p>
        </w:tc>
        <w:tc>
          <w:tcPr>
            <w:tcW w:w="1691" w:type="dxa"/>
            <w:vAlign w:val="center"/>
          </w:tcPr>
          <w:p w14:paraId="0D4ED71F" w14:textId="77777777" w:rsidR="00C813F8" w:rsidRDefault="00000000">
            <w:pPr>
              <w:pStyle w:val="ListParagraph"/>
              <w:spacing w:after="0" w:line="240" w:lineRule="auto"/>
              <w:ind w:left="0"/>
              <w:jc w:val="center"/>
              <w:rPr>
                <w:rFonts w:ascii="Garamond" w:hAnsi="Garamond" w:cs="Garamond"/>
                <w:sz w:val="20"/>
                <w:szCs w:val="20"/>
              </w:rPr>
            </w:pPr>
            <w:r>
              <w:rPr>
                <w:rFonts w:ascii="Garamond" w:hAnsi="Garamond" w:cs="Garamond"/>
                <w:sz w:val="20"/>
                <w:szCs w:val="20"/>
              </w:rPr>
              <w:t>Lebih spesifik ke perlindungan objek wisata bersifat Benda (tangible)</w:t>
            </w:r>
          </w:p>
        </w:tc>
      </w:tr>
      <w:tr w:rsidR="00C813F8" w14:paraId="1F600D3F" w14:textId="77777777">
        <w:tc>
          <w:tcPr>
            <w:tcW w:w="2146" w:type="dxa"/>
            <w:vAlign w:val="center"/>
          </w:tcPr>
          <w:p w14:paraId="1707CA3A" w14:textId="77777777" w:rsidR="00C813F8" w:rsidRDefault="00000000">
            <w:pPr>
              <w:pStyle w:val="ListParagraph"/>
              <w:spacing w:after="0" w:line="240" w:lineRule="auto"/>
              <w:ind w:left="0"/>
              <w:jc w:val="center"/>
              <w:rPr>
                <w:rFonts w:ascii="Garamond" w:hAnsi="Garamond" w:cs="Garamond"/>
                <w:b/>
                <w:sz w:val="20"/>
                <w:szCs w:val="20"/>
              </w:rPr>
            </w:pPr>
            <w:r>
              <w:rPr>
                <w:rFonts w:ascii="Garamond" w:hAnsi="Garamond" w:cs="Garamond"/>
                <w:b/>
                <w:sz w:val="20"/>
                <w:szCs w:val="20"/>
              </w:rPr>
              <w:t>Pasal perlindungan terhadap warisan budaya</w:t>
            </w:r>
          </w:p>
        </w:tc>
        <w:tc>
          <w:tcPr>
            <w:tcW w:w="1703" w:type="dxa"/>
            <w:vAlign w:val="center"/>
          </w:tcPr>
          <w:p w14:paraId="20E5D948" w14:textId="77777777" w:rsidR="00C813F8" w:rsidRDefault="00000000">
            <w:pPr>
              <w:pStyle w:val="ListParagraph"/>
              <w:spacing w:after="0" w:line="240" w:lineRule="auto"/>
              <w:ind w:left="0"/>
              <w:jc w:val="center"/>
              <w:rPr>
                <w:rFonts w:ascii="Garamond" w:hAnsi="Garamond" w:cs="Garamond"/>
                <w:sz w:val="20"/>
                <w:szCs w:val="20"/>
              </w:rPr>
            </w:pPr>
            <w:r>
              <w:rPr>
                <w:rFonts w:ascii="Garamond" w:hAnsi="Garamond" w:cs="Garamond"/>
                <w:sz w:val="20"/>
                <w:szCs w:val="20"/>
              </w:rPr>
              <w:t>Seluruhnya</w:t>
            </w:r>
          </w:p>
        </w:tc>
        <w:tc>
          <w:tcPr>
            <w:tcW w:w="1729" w:type="dxa"/>
            <w:vAlign w:val="center"/>
          </w:tcPr>
          <w:p w14:paraId="2CCD5A34" w14:textId="77777777" w:rsidR="00C813F8" w:rsidRDefault="00000000">
            <w:pPr>
              <w:pStyle w:val="ListParagraph"/>
              <w:spacing w:after="0" w:line="240" w:lineRule="auto"/>
              <w:ind w:left="0"/>
              <w:jc w:val="center"/>
              <w:rPr>
                <w:rFonts w:ascii="Garamond" w:hAnsi="Garamond" w:cs="Garamond"/>
                <w:sz w:val="20"/>
                <w:szCs w:val="20"/>
              </w:rPr>
            </w:pPr>
            <w:r>
              <w:rPr>
                <w:rFonts w:ascii="Garamond" w:hAnsi="Garamond" w:cs="Garamond"/>
                <w:sz w:val="20"/>
                <w:szCs w:val="20"/>
              </w:rPr>
              <w:t>38</w:t>
            </w:r>
          </w:p>
        </w:tc>
        <w:tc>
          <w:tcPr>
            <w:tcW w:w="1799" w:type="dxa"/>
            <w:vAlign w:val="center"/>
          </w:tcPr>
          <w:p w14:paraId="5D0A3576" w14:textId="77777777" w:rsidR="00C813F8" w:rsidRDefault="00000000">
            <w:pPr>
              <w:pStyle w:val="ListParagraph"/>
              <w:spacing w:after="0" w:line="240" w:lineRule="auto"/>
              <w:ind w:left="0"/>
              <w:jc w:val="center"/>
              <w:rPr>
                <w:rFonts w:ascii="Garamond" w:hAnsi="Garamond" w:cs="Garamond"/>
                <w:sz w:val="20"/>
                <w:szCs w:val="20"/>
              </w:rPr>
            </w:pPr>
            <w:r>
              <w:rPr>
                <w:rFonts w:ascii="Garamond" w:hAnsi="Garamond" w:cs="Garamond"/>
                <w:color w:val="000000"/>
                <w:sz w:val="20"/>
                <w:szCs w:val="20"/>
              </w:rPr>
              <w:t>1,4, 6,11,17, 25, 26, 38, dan 48</w:t>
            </w:r>
          </w:p>
        </w:tc>
        <w:tc>
          <w:tcPr>
            <w:tcW w:w="1691" w:type="dxa"/>
            <w:vAlign w:val="center"/>
          </w:tcPr>
          <w:p w14:paraId="6BB1CF06" w14:textId="77777777" w:rsidR="00C813F8" w:rsidRDefault="00000000">
            <w:pPr>
              <w:pStyle w:val="ListParagraph"/>
              <w:spacing w:after="0" w:line="240" w:lineRule="auto"/>
              <w:ind w:left="0"/>
              <w:jc w:val="center"/>
              <w:rPr>
                <w:rFonts w:ascii="Garamond" w:hAnsi="Garamond" w:cs="Garamond"/>
                <w:sz w:val="20"/>
                <w:szCs w:val="20"/>
              </w:rPr>
            </w:pPr>
            <w:r>
              <w:rPr>
                <w:rFonts w:ascii="Garamond" w:hAnsi="Garamond" w:cs="Garamond"/>
                <w:sz w:val="20"/>
                <w:szCs w:val="20"/>
              </w:rPr>
              <w:t>23.27,28,29,30</w:t>
            </w:r>
          </w:p>
        </w:tc>
      </w:tr>
      <w:tr w:rsidR="00C813F8" w14:paraId="761D2342" w14:textId="77777777">
        <w:tc>
          <w:tcPr>
            <w:tcW w:w="2146" w:type="dxa"/>
            <w:vAlign w:val="center"/>
          </w:tcPr>
          <w:p w14:paraId="42E8EB4D" w14:textId="77777777" w:rsidR="00C813F8" w:rsidRDefault="00000000">
            <w:pPr>
              <w:pStyle w:val="ListParagraph"/>
              <w:spacing w:after="0" w:line="240" w:lineRule="auto"/>
              <w:ind w:left="0"/>
              <w:jc w:val="center"/>
              <w:rPr>
                <w:rFonts w:ascii="Garamond" w:hAnsi="Garamond" w:cs="Garamond"/>
                <w:b/>
                <w:sz w:val="20"/>
                <w:szCs w:val="20"/>
              </w:rPr>
            </w:pPr>
            <w:r>
              <w:rPr>
                <w:rFonts w:ascii="Garamond" w:hAnsi="Garamond" w:cs="Garamond"/>
                <w:b/>
                <w:sz w:val="20"/>
                <w:szCs w:val="20"/>
              </w:rPr>
              <w:t>Peraturan Pemerintah (PP) tentang pelaksanaan UU</w:t>
            </w:r>
          </w:p>
        </w:tc>
        <w:tc>
          <w:tcPr>
            <w:tcW w:w="1703" w:type="dxa"/>
            <w:vAlign w:val="center"/>
          </w:tcPr>
          <w:p w14:paraId="7C97B266" w14:textId="77777777" w:rsidR="00C813F8" w:rsidRDefault="00000000">
            <w:pPr>
              <w:pStyle w:val="ListParagraph"/>
              <w:spacing w:after="0" w:line="240" w:lineRule="auto"/>
              <w:ind w:left="0"/>
              <w:jc w:val="center"/>
              <w:rPr>
                <w:rFonts w:ascii="Garamond" w:hAnsi="Garamond" w:cs="Garamond"/>
                <w:sz w:val="20"/>
                <w:szCs w:val="20"/>
              </w:rPr>
            </w:pPr>
            <w:r>
              <w:rPr>
                <w:rFonts w:ascii="Garamond" w:hAnsi="Garamond" w:cs="Garamond"/>
                <w:sz w:val="20"/>
                <w:szCs w:val="20"/>
              </w:rPr>
              <w:t>Belum terbit</w:t>
            </w:r>
          </w:p>
        </w:tc>
        <w:tc>
          <w:tcPr>
            <w:tcW w:w="1729" w:type="dxa"/>
            <w:vAlign w:val="center"/>
          </w:tcPr>
          <w:p w14:paraId="62A3F38E" w14:textId="77777777" w:rsidR="00C813F8" w:rsidRDefault="00000000">
            <w:pPr>
              <w:pStyle w:val="ListParagraph"/>
              <w:spacing w:after="0" w:line="240" w:lineRule="auto"/>
              <w:ind w:left="0"/>
              <w:jc w:val="center"/>
              <w:rPr>
                <w:rFonts w:ascii="Garamond" w:hAnsi="Garamond" w:cs="Garamond"/>
                <w:sz w:val="20"/>
                <w:szCs w:val="20"/>
              </w:rPr>
            </w:pPr>
            <w:r>
              <w:rPr>
                <w:rFonts w:ascii="Garamond" w:hAnsi="Garamond" w:cs="Garamond"/>
                <w:sz w:val="20"/>
                <w:szCs w:val="20"/>
              </w:rPr>
              <w:t>PP No. 36 Tahun 2005</w:t>
            </w:r>
          </w:p>
        </w:tc>
        <w:tc>
          <w:tcPr>
            <w:tcW w:w="1799" w:type="dxa"/>
            <w:vAlign w:val="center"/>
          </w:tcPr>
          <w:p w14:paraId="46C37C35" w14:textId="77777777" w:rsidR="00C813F8" w:rsidRDefault="00000000">
            <w:pPr>
              <w:pStyle w:val="ListParagraph"/>
              <w:spacing w:after="0" w:line="240" w:lineRule="auto"/>
              <w:ind w:left="0"/>
              <w:jc w:val="center"/>
              <w:rPr>
                <w:rFonts w:ascii="Garamond" w:hAnsi="Garamond" w:cs="Garamond"/>
                <w:sz w:val="20"/>
                <w:szCs w:val="20"/>
              </w:rPr>
            </w:pPr>
            <w:r>
              <w:rPr>
                <w:rFonts w:ascii="Garamond" w:hAnsi="Garamond" w:cs="Garamond"/>
                <w:sz w:val="20"/>
                <w:szCs w:val="20"/>
              </w:rPr>
              <w:t>PP No. 26 tahun 2008</w:t>
            </w:r>
          </w:p>
        </w:tc>
        <w:tc>
          <w:tcPr>
            <w:tcW w:w="1691" w:type="dxa"/>
            <w:vAlign w:val="center"/>
          </w:tcPr>
          <w:p w14:paraId="5480CD20" w14:textId="77777777" w:rsidR="00C813F8" w:rsidRDefault="00000000">
            <w:pPr>
              <w:pStyle w:val="ListParagraph"/>
              <w:spacing w:after="0" w:line="240" w:lineRule="auto"/>
              <w:ind w:left="0"/>
              <w:jc w:val="center"/>
              <w:rPr>
                <w:rFonts w:ascii="Garamond" w:hAnsi="Garamond" w:cs="Garamond"/>
                <w:sz w:val="20"/>
                <w:szCs w:val="20"/>
              </w:rPr>
            </w:pPr>
            <w:r>
              <w:rPr>
                <w:rFonts w:ascii="Garamond" w:hAnsi="Garamond" w:cs="Garamond"/>
                <w:sz w:val="20"/>
                <w:szCs w:val="20"/>
              </w:rPr>
              <w:t>PP No.50 tahun 2011</w:t>
            </w:r>
          </w:p>
          <w:p w14:paraId="6C4A3697" w14:textId="77777777" w:rsidR="00C813F8" w:rsidRDefault="00000000">
            <w:pPr>
              <w:pStyle w:val="ListParagraph"/>
              <w:spacing w:after="0" w:line="240" w:lineRule="auto"/>
              <w:ind w:left="0"/>
              <w:jc w:val="center"/>
              <w:rPr>
                <w:rFonts w:ascii="Garamond" w:hAnsi="Garamond" w:cs="Garamond"/>
                <w:sz w:val="20"/>
                <w:szCs w:val="20"/>
              </w:rPr>
            </w:pPr>
            <w:r>
              <w:rPr>
                <w:rFonts w:ascii="Garamond" w:hAnsi="Garamond" w:cs="Garamond"/>
                <w:sz w:val="20"/>
                <w:szCs w:val="20"/>
              </w:rPr>
              <w:t>Perpres No.63 tahun 2014</w:t>
            </w:r>
          </w:p>
        </w:tc>
      </w:tr>
      <w:tr w:rsidR="00C813F8" w14:paraId="5643BEC6" w14:textId="77777777">
        <w:tc>
          <w:tcPr>
            <w:tcW w:w="2146" w:type="dxa"/>
            <w:vAlign w:val="center"/>
          </w:tcPr>
          <w:p w14:paraId="56DE841A" w14:textId="77777777" w:rsidR="00C813F8" w:rsidRDefault="00000000">
            <w:pPr>
              <w:pStyle w:val="ListParagraph"/>
              <w:spacing w:after="0" w:line="240" w:lineRule="auto"/>
              <w:ind w:left="0"/>
              <w:jc w:val="center"/>
              <w:rPr>
                <w:rFonts w:ascii="Garamond" w:hAnsi="Garamond" w:cs="Garamond"/>
                <w:b/>
                <w:sz w:val="20"/>
                <w:szCs w:val="20"/>
              </w:rPr>
            </w:pPr>
            <w:r>
              <w:rPr>
                <w:rFonts w:ascii="Garamond" w:hAnsi="Garamond" w:cs="Garamond"/>
                <w:b/>
                <w:sz w:val="20"/>
                <w:szCs w:val="20"/>
              </w:rPr>
              <w:t>Lembaga pemerintah yang bertugas</w:t>
            </w:r>
          </w:p>
        </w:tc>
        <w:tc>
          <w:tcPr>
            <w:tcW w:w="1703" w:type="dxa"/>
            <w:vAlign w:val="center"/>
          </w:tcPr>
          <w:p w14:paraId="317EAD4B" w14:textId="77777777" w:rsidR="00C813F8" w:rsidRDefault="00000000">
            <w:pPr>
              <w:pStyle w:val="ListParagraph"/>
              <w:spacing w:after="0" w:line="240" w:lineRule="auto"/>
              <w:ind w:left="0"/>
              <w:jc w:val="center"/>
              <w:rPr>
                <w:rFonts w:ascii="Garamond" w:hAnsi="Garamond" w:cs="Garamond"/>
                <w:sz w:val="20"/>
                <w:szCs w:val="20"/>
              </w:rPr>
            </w:pPr>
            <w:r>
              <w:rPr>
                <w:rFonts w:ascii="Garamond" w:hAnsi="Garamond" w:cs="Garamond"/>
                <w:sz w:val="20"/>
                <w:szCs w:val="20"/>
              </w:rPr>
              <w:t>Kementriaan Pendidikan dan Kebudayaan</w:t>
            </w:r>
          </w:p>
        </w:tc>
        <w:tc>
          <w:tcPr>
            <w:tcW w:w="1729" w:type="dxa"/>
            <w:vAlign w:val="center"/>
          </w:tcPr>
          <w:p w14:paraId="63CAD389" w14:textId="77777777" w:rsidR="00C813F8" w:rsidRDefault="00000000">
            <w:pPr>
              <w:pStyle w:val="ListParagraph"/>
              <w:spacing w:after="0" w:line="240" w:lineRule="auto"/>
              <w:ind w:left="0"/>
              <w:jc w:val="center"/>
              <w:rPr>
                <w:rFonts w:ascii="Garamond" w:hAnsi="Garamond" w:cs="Garamond"/>
                <w:sz w:val="20"/>
                <w:szCs w:val="20"/>
              </w:rPr>
            </w:pPr>
            <w:r>
              <w:rPr>
                <w:rFonts w:ascii="Garamond" w:hAnsi="Garamond" w:cs="Garamond"/>
                <w:sz w:val="20"/>
                <w:szCs w:val="20"/>
              </w:rPr>
              <w:t>Kementrian PU dan Perumahan Rakyat</w:t>
            </w:r>
          </w:p>
        </w:tc>
        <w:tc>
          <w:tcPr>
            <w:tcW w:w="1799" w:type="dxa"/>
            <w:vAlign w:val="center"/>
          </w:tcPr>
          <w:p w14:paraId="77221EEF" w14:textId="77777777" w:rsidR="00C813F8" w:rsidRDefault="00000000">
            <w:pPr>
              <w:pStyle w:val="ListParagraph"/>
              <w:spacing w:after="0" w:line="240" w:lineRule="auto"/>
              <w:ind w:left="0"/>
              <w:jc w:val="center"/>
              <w:rPr>
                <w:rFonts w:ascii="Garamond" w:hAnsi="Garamond" w:cs="Garamond"/>
                <w:sz w:val="20"/>
                <w:szCs w:val="20"/>
              </w:rPr>
            </w:pPr>
            <w:r>
              <w:rPr>
                <w:rFonts w:ascii="Garamond" w:hAnsi="Garamond" w:cs="Garamond"/>
                <w:sz w:val="20"/>
                <w:szCs w:val="20"/>
              </w:rPr>
              <w:t>Kementrian Agraria dan Tata Ruang Kementrian PPN/Bappenas RI</w:t>
            </w:r>
          </w:p>
        </w:tc>
        <w:tc>
          <w:tcPr>
            <w:tcW w:w="1691" w:type="dxa"/>
            <w:vAlign w:val="center"/>
          </w:tcPr>
          <w:p w14:paraId="7309B3CD" w14:textId="77777777" w:rsidR="00C813F8" w:rsidRDefault="00000000">
            <w:pPr>
              <w:pStyle w:val="ListParagraph"/>
              <w:spacing w:after="0" w:line="240" w:lineRule="auto"/>
              <w:ind w:left="0"/>
              <w:jc w:val="center"/>
              <w:rPr>
                <w:rFonts w:ascii="Garamond" w:hAnsi="Garamond" w:cs="Garamond"/>
                <w:sz w:val="20"/>
                <w:szCs w:val="20"/>
              </w:rPr>
            </w:pPr>
            <w:r>
              <w:rPr>
                <w:rFonts w:ascii="Garamond" w:hAnsi="Garamond" w:cs="Garamond"/>
                <w:sz w:val="20"/>
                <w:szCs w:val="20"/>
              </w:rPr>
              <w:t>Kementrian Pariwisata</w:t>
            </w:r>
          </w:p>
        </w:tc>
      </w:tr>
    </w:tbl>
    <w:p w14:paraId="7FFAA325" w14:textId="77777777" w:rsidR="00C813F8" w:rsidRDefault="00C813F8">
      <w:pPr>
        <w:pStyle w:val="ListParagraph"/>
        <w:spacing w:after="0" w:line="240" w:lineRule="auto"/>
        <w:ind w:left="489"/>
        <w:rPr>
          <w:rFonts w:ascii="Garamond" w:hAnsi="Garamond" w:cs="Garamond"/>
          <w:sz w:val="22"/>
          <w:lang w:val="en-US"/>
        </w:rPr>
      </w:pPr>
    </w:p>
    <w:p w14:paraId="4D51ADE3" w14:textId="77777777" w:rsidR="00C813F8" w:rsidRDefault="00C813F8">
      <w:pPr>
        <w:pStyle w:val="H-1"/>
        <w:tabs>
          <w:tab w:val="clear" w:pos="1890"/>
          <w:tab w:val="clear" w:pos="2160"/>
        </w:tabs>
        <w:ind w:left="0" w:firstLine="720"/>
        <w:rPr>
          <w:rFonts w:ascii="Garamond" w:hAnsi="Garamond" w:cs="Garamond"/>
          <w:sz w:val="22"/>
        </w:rPr>
      </w:pPr>
    </w:p>
    <w:p w14:paraId="5188C996" w14:textId="77777777" w:rsidR="00C813F8" w:rsidRDefault="00000000">
      <w:pPr>
        <w:pStyle w:val="ListParagraph"/>
        <w:spacing w:after="0" w:line="240" w:lineRule="auto"/>
        <w:ind w:left="0" w:firstLine="720"/>
        <w:jc w:val="both"/>
        <w:rPr>
          <w:rFonts w:ascii="Garamond" w:hAnsi="Garamond" w:cs="Garamond"/>
          <w:sz w:val="22"/>
        </w:rPr>
      </w:pPr>
      <w:r>
        <w:rPr>
          <w:rFonts w:ascii="Garamond" w:hAnsi="Garamond" w:cs="Garamond"/>
          <w:sz w:val="22"/>
        </w:rPr>
        <w:t>Dalam aspek legislasi yang sekarang ini, perlindungan cagar budaya masih berfokus pada kategori warisan benda budaya (</w:t>
      </w:r>
      <w:r>
        <w:rPr>
          <w:rFonts w:ascii="Garamond" w:hAnsi="Garamond" w:cs="Garamond"/>
          <w:i/>
          <w:sz w:val="22"/>
        </w:rPr>
        <w:t>tangible heritage</w:t>
      </w:r>
      <w:r>
        <w:rPr>
          <w:rFonts w:ascii="Garamond" w:hAnsi="Garamond" w:cs="Garamond"/>
          <w:sz w:val="22"/>
        </w:rPr>
        <w:t>), kemudian sebagian besar daftar yang dimiliki oleh masing-masing pemerintah daerah baik provinsi maupun pemerintah kabupaten atau kota adalah warisan benda tak berpindah (</w:t>
      </w:r>
      <w:r>
        <w:rPr>
          <w:rFonts w:ascii="Garamond" w:hAnsi="Garamond" w:cs="Garamond"/>
          <w:i/>
          <w:sz w:val="22"/>
        </w:rPr>
        <w:t>immovable heritage</w:t>
      </w:r>
      <w:r>
        <w:rPr>
          <w:rFonts w:ascii="Garamond" w:hAnsi="Garamond" w:cs="Garamond"/>
          <w:sz w:val="22"/>
        </w:rPr>
        <w:t>). Sedangkan warisan benda bergerak (</w:t>
      </w:r>
      <w:r>
        <w:rPr>
          <w:rFonts w:ascii="Garamond" w:hAnsi="Garamond" w:cs="Garamond"/>
          <w:i/>
          <w:sz w:val="22"/>
        </w:rPr>
        <w:t>movable heritage</w:t>
      </w:r>
      <w:r>
        <w:rPr>
          <w:rFonts w:ascii="Garamond" w:hAnsi="Garamond" w:cs="Garamond"/>
          <w:sz w:val="22"/>
        </w:rPr>
        <w:t xml:space="preserve">) masih banyak yang belum terdaftar dan dilindungi. Sementara itu, hanya ada satu regulasi yang mengawal perlindungan terhadap warisan tak benda yaitu Instruksi Presiden No.78 tentang Pengesahan Safeguarding of Intangible Cultural Heritage. </w:t>
      </w:r>
    </w:p>
    <w:p w14:paraId="07AA5D75" w14:textId="77777777" w:rsidR="00C813F8" w:rsidRDefault="00C813F8">
      <w:pPr>
        <w:spacing w:after="0" w:line="240" w:lineRule="auto"/>
        <w:jc w:val="both"/>
        <w:rPr>
          <w:rFonts w:ascii="Garamond" w:hAnsi="Garamond" w:cs="Garamond"/>
          <w:sz w:val="22"/>
        </w:rPr>
      </w:pPr>
    </w:p>
    <w:p w14:paraId="2DCFFC70" w14:textId="77777777" w:rsidR="00C813F8" w:rsidRDefault="00000000">
      <w:pPr>
        <w:pStyle w:val="ListParagraph"/>
        <w:numPr>
          <w:ilvl w:val="0"/>
          <w:numId w:val="2"/>
        </w:numPr>
        <w:spacing w:after="0" w:line="240" w:lineRule="auto"/>
        <w:rPr>
          <w:rFonts w:ascii="Garamond" w:hAnsi="Garamond" w:cs="Garamond"/>
          <w:b/>
          <w:bCs/>
          <w:sz w:val="22"/>
        </w:rPr>
      </w:pPr>
      <w:r>
        <w:rPr>
          <w:rFonts w:ascii="Garamond" w:hAnsi="Garamond" w:cs="Garamond"/>
          <w:b/>
          <w:bCs/>
          <w:sz w:val="22"/>
        </w:rPr>
        <w:t>Kesimpulan</w:t>
      </w:r>
    </w:p>
    <w:p w14:paraId="1F14319A" w14:textId="77777777" w:rsidR="00C813F8" w:rsidRDefault="00000000">
      <w:pPr>
        <w:pStyle w:val="ListParagraph"/>
        <w:spacing w:after="0" w:line="240" w:lineRule="auto"/>
        <w:ind w:left="0" w:firstLine="720"/>
        <w:jc w:val="both"/>
        <w:rPr>
          <w:rFonts w:ascii="Garamond" w:hAnsi="Garamond" w:cs="Garamond"/>
          <w:color w:val="000000" w:themeColor="text1"/>
          <w:sz w:val="22"/>
        </w:rPr>
      </w:pPr>
      <w:r>
        <w:rPr>
          <w:rFonts w:ascii="Garamond" w:hAnsi="Garamond" w:cs="Garamond"/>
          <w:color w:val="000000" w:themeColor="text1"/>
          <w:sz w:val="22"/>
        </w:rPr>
        <w:t xml:space="preserve">Legislasi dan panduan dalam perlindungan dan pengelolaan warisan budaya di Indonesia yang terdapat dalam UU No.11/2010 masih sangat kurang memadai. Namun, hingga saat ini Peraturan Pemerintah yang menjelaskan UU No.11/2010 belum terbit, sementara peraturan pemerintah sebelumnya sudah tidak bisa mengakomodasi konsep-konsep baru dalam perlindungan dan pengelolaan warisan budaya di Indonesia yang termaktub dalam UU CB seperti kategorisasi warisan budaya untuk kawasan dan desentralisasi dalam pengelolaan warisan budaya. Indonesia juga kekurangan panduan dalam praktek perlindungan dan pengelolaan warisan budaya sehingga membingungkan dan menyulitkan penggiat pelestarian ikut serta mengambil peran. </w:t>
      </w:r>
    </w:p>
    <w:p w14:paraId="64BF9D69" w14:textId="77777777" w:rsidR="00C813F8" w:rsidRDefault="00000000">
      <w:pPr>
        <w:pStyle w:val="ListParagraph"/>
        <w:spacing w:after="0" w:line="240" w:lineRule="auto"/>
        <w:ind w:left="0" w:firstLine="720"/>
        <w:jc w:val="both"/>
        <w:rPr>
          <w:rFonts w:ascii="Garamond" w:hAnsi="Garamond" w:cs="Garamond"/>
          <w:color w:val="000000"/>
          <w:sz w:val="22"/>
        </w:rPr>
      </w:pPr>
      <w:r>
        <w:rPr>
          <w:rFonts w:ascii="Garamond" w:hAnsi="Garamond" w:cs="Garamond"/>
          <w:sz w:val="22"/>
        </w:rPr>
        <w:t xml:space="preserve">Selain dari UU No.11/2010, terdapat beberapa undang-undang lain yang melindungi dan melestarikan warisan budaya di Indonesia seperti </w:t>
      </w:r>
      <w:hyperlink r:id="rId17" w:tgtFrame="_blank" w:history="1">
        <w:r>
          <w:rPr>
            <w:rStyle w:val="Hyperlink"/>
            <w:rFonts w:ascii="Garamond" w:hAnsi="Garamond" w:cs="Garamond"/>
            <w:color w:val="000000"/>
            <w:sz w:val="22"/>
            <w:u w:val="none"/>
          </w:rPr>
          <w:t>Undang-Undang Nomor 28 Tahun 2002 tentang Bangunan Gedung</w:t>
        </w:r>
      </w:hyperlink>
      <w:r>
        <w:rPr>
          <w:rStyle w:val="Hyperlink"/>
          <w:rFonts w:ascii="Garamond" w:hAnsi="Garamond" w:cs="Garamond"/>
          <w:color w:val="000000"/>
          <w:sz w:val="22"/>
          <w:u w:val="none"/>
        </w:rPr>
        <w:t xml:space="preserve">. </w:t>
      </w:r>
      <w:r>
        <w:rPr>
          <w:rFonts w:ascii="Garamond" w:hAnsi="Garamond" w:cs="Garamond"/>
          <w:color w:val="000000"/>
          <w:sz w:val="22"/>
        </w:rPr>
        <w:t xml:space="preserve">Pasal yang berhubungan dengan perlindungan dan pelestarian cagar budaya yaitu pasal </w:t>
      </w:r>
      <w:r>
        <w:rPr>
          <w:rFonts w:ascii="Garamond" w:hAnsi="Garamond" w:cs="Garamond"/>
          <w:color w:val="000000"/>
          <w:sz w:val="22"/>
        </w:rPr>
        <w:lastRenderedPageBreak/>
        <w:t xml:space="preserve">38. Kemudian Undang-Undang No. 26 tahun 2007 (sebelumnya UU no.24 tahun 1992) tentang Penataan Ruang. </w:t>
      </w:r>
    </w:p>
    <w:p w14:paraId="2606B564" w14:textId="77777777" w:rsidR="00C813F8" w:rsidRDefault="00000000">
      <w:pPr>
        <w:pStyle w:val="ListParagraph"/>
        <w:spacing w:after="0" w:line="240" w:lineRule="auto"/>
        <w:ind w:left="0" w:firstLine="720"/>
        <w:jc w:val="both"/>
        <w:rPr>
          <w:rFonts w:ascii="Garamond" w:hAnsi="Garamond" w:cs="Garamond"/>
          <w:sz w:val="22"/>
          <w:lang w:val="en-US"/>
        </w:rPr>
      </w:pPr>
      <w:r>
        <w:rPr>
          <w:rFonts w:ascii="Garamond" w:hAnsi="Garamond" w:cs="Garamond"/>
          <w:color w:val="000000"/>
          <w:sz w:val="22"/>
        </w:rPr>
        <w:t xml:space="preserve">Beberapa undang-undang yang ikut berperan serta dalam melindungi dan mengatur pelestarian cagar budaya di Indonesia masih terpisah-pisah dan terkungkungi oleh manajemen yang bertugas melaksanakannya. </w:t>
      </w:r>
      <w:r>
        <w:rPr>
          <w:rFonts w:ascii="Garamond" w:hAnsi="Garamond" w:cs="Garamond"/>
          <w:sz w:val="22"/>
        </w:rPr>
        <w:t>Sangat disayangkan, sinkronisasi antar undang-undang ini masih lemah.</w:t>
      </w:r>
    </w:p>
    <w:p w14:paraId="6A69748C" w14:textId="77777777" w:rsidR="00C813F8" w:rsidRDefault="00C813F8">
      <w:pPr>
        <w:pStyle w:val="H-1"/>
        <w:tabs>
          <w:tab w:val="clear" w:pos="1890"/>
          <w:tab w:val="clear" w:pos="2160"/>
        </w:tabs>
        <w:ind w:left="0" w:firstLine="720"/>
        <w:rPr>
          <w:rFonts w:ascii="Garamond" w:hAnsi="Garamond" w:cs="Garamond"/>
          <w:sz w:val="22"/>
        </w:rPr>
      </w:pPr>
    </w:p>
    <w:p w14:paraId="6AA91A0A" w14:textId="77777777" w:rsidR="00C813F8" w:rsidRDefault="00C813F8">
      <w:pPr>
        <w:pStyle w:val="NormalWeb"/>
        <w:spacing w:before="0" w:beforeAutospacing="0" w:after="0" w:afterAutospacing="0"/>
        <w:jc w:val="both"/>
        <w:rPr>
          <w:rFonts w:ascii="Garamond" w:hAnsi="Garamond" w:cs="Garamond"/>
          <w:sz w:val="22"/>
          <w:szCs w:val="22"/>
        </w:rPr>
      </w:pPr>
    </w:p>
    <w:p w14:paraId="7458E325" w14:textId="77777777" w:rsidR="00C813F8" w:rsidRDefault="00000000">
      <w:pPr>
        <w:spacing w:after="0" w:line="240" w:lineRule="auto"/>
        <w:jc w:val="both"/>
        <w:outlineLvl w:val="1"/>
        <w:rPr>
          <w:rFonts w:ascii="Garamond" w:eastAsia="Times New Roman" w:hAnsi="Garamond" w:cs="Garamond"/>
          <w:b/>
          <w:bCs/>
          <w:sz w:val="22"/>
        </w:rPr>
      </w:pPr>
      <w:r>
        <w:rPr>
          <w:rFonts w:ascii="Garamond" w:eastAsia="Times New Roman" w:hAnsi="Garamond" w:cs="Garamond"/>
          <w:b/>
          <w:bCs/>
          <w:sz w:val="22"/>
        </w:rPr>
        <w:t>Daftar Pustaka</w:t>
      </w:r>
    </w:p>
    <w:p w14:paraId="110F09C4" w14:textId="77777777" w:rsidR="00C813F8" w:rsidRDefault="00C813F8">
      <w:pPr>
        <w:spacing w:after="0" w:line="240" w:lineRule="auto"/>
        <w:jc w:val="both"/>
        <w:outlineLvl w:val="1"/>
        <w:rPr>
          <w:rFonts w:ascii="Garamond" w:eastAsia="Times New Roman" w:hAnsi="Garamond" w:cs="Garamond"/>
          <w:b/>
          <w:bCs/>
          <w:sz w:val="22"/>
        </w:rPr>
      </w:pPr>
    </w:p>
    <w:p w14:paraId="08F6597B" w14:textId="77777777" w:rsidR="00C813F8" w:rsidRDefault="00000000">
      <w:pPr>
        <w:spacing w:after="0" w:line="360" w:lineRule="auto"/>
        <w:ind w:left="660" w:hangingChars="300" w:hanging="660"/>
        <w:jc w:val="both"/>
        <w:rPr>
          <w:rFonts w:ascii="Garamond" w:hAnsi="Garamond" w:cs="Garamond"/>
          <w:sz w:val="22"/>
        </w:rPr>
      </w:pPr>
      <w:r>
        <w:rPr>
          <w:rFonts w:ascii="Garamond" w:hAnsi="Garamond" w:cs="Garamond"/>
          <w:sz w:val="22"/>
        </w:rPr>
        <w:t xml:space="preserve">Adisakti, L. T. 1997. </w:t>
      </w:r>
      <w:r>
        <w:rPr>
          <w:rFonts w:ascii="Garamond" w:hAnsi="Garamond" w:cs="Garamond"/>
          <w:i/>
          <w:sz w:val="22"/>
        </w:rPr>
        <w:t>A Study on the Conservation Planning of Yogyakarta Historic-tourist City Based on Urban Space Heritage Conception.</w:t>
      </w:r>
      <w:r>
        <w:rPr>
          <w:rFonts w:ascii="Garamond" w:hAnsi="Garamond" w:cs="Garamond"/>
          <w:sz w:val="22"/>
        </w:rPr>
        <w:t xml:space="preserve"> Unpublished Doctoral Thesis, Kyoto University, Japan, Kyoto.</w:t>
      </w:r>
    </w:p>
    <w:p w14:paraId="6DD37CC7" w14:textId="77777777" w:rsidR="00C813F8" w:rsidRDefault="00000000">
      <w:pPr>
        <w:spacing w:after="0" w:line="360" w:lineRule="auto"/>
        <w:jc w:val="both"/>
        <w:rPr>
          <w:rFonts w:ascii="Garamond" w:hAnsi="Garamond" w:cs="Garamond"/>
          <w:sz w:val="22"/>
        </w:rPr>
      </w:pPr>
      <w:r>
        <w:rPr>
          <w:rFonts w:ascii="Garamond" w:hAnsi="Garamond" w:cs="Garamond"/>
          <w:sz w:val="22"/>
        </w:rPr>
        <w:t xml:space="preserve">Departemen Pendidikan dan Kebudajaan Indonesia. 1973. </w:t>
      </w:r>
      <w:r>
        <w:rPr>
          <w:rFonts w:ascii="Garamond" w:hAnsi="Garamond" w:cs="Garamond"/>
          <w:i/>
          <w:sz w:val="22"/>
        </w:rPr>
        <w:t>Cultural Policy in Indonesia</w:t>
      </w:r>
      <w:r>
        <w:rPr>
          <w:rFonts w:ascii="Garamond" w:hAnsi="Garamond" w:cs="Garamond"/>
          <w:sz w:val="22"/>
        </w:rPr>
        <w:t>, Paris, Unesco.</w:t>
      </w:r>
    </w:p>
    <w:p w14:paraId="6566C7DD" w14:textId="77777777" w:rsidR="00C813F8" w:rsidRDefault="00000000">
      <w:pPr>
        <w:spacing w:after="0" w:line="360" w:lineRule="auto"/>
        <w:ind w:left="720" w:hanging="720"/>
        <w:jc w:val="both"/>
        <w:rPr>
          <w:rFonts w:ascii="Garamond" w:hAnsi="Garamond" w:cs="Garamond"/>
          <w:sz w:val="22"/>
        </w:rPr>
      </w:pPr>
      <w:r>
        <w:rPr>
          <w:rFonts w:ascii="Garamond" w:hAnsi="Garamond" w:cs="Garamond"/>
          <w:sz w:val="22"/>
        </w:rPr>
        <w:t xml:space="preserve">Departemen Pendidikan dan Kebudayaan Indonesia. 1987. </w:t>
      </w:r>
      <w:r>
        <w:rPr>
          <w:rFonts w:ascii="Garamond" w:hAnsi="Garamond" w:cs="Garamond"/>
          <w:i/>
          <w:sz w:val="22"/>
        </w:rPr>
        <w:t>Sejarah Direktorat Permuseuman</w:t>
      </w:r>
      <w:r>
        <w:rPr>
          <w:rFonts w:ascii="Garamond" w:hAnsi="Garamond" w:cs="Garamond"/>
          <w:sz w:val="22"/>
        </w:rPr>
        <w:t>. Jakarta: Departemen Pendidikan dan Kebudayaan, Direktorat Jenderal Kebudayaan, Proyek Pengembangan Permuseuman Jakarta.</w:t>
      </w:r>
    </w:p>
    <w:p w14:paraId="330E66F1" w14:textId="77777777" w:rsidR="00C813F8" w:rsidRDefault="00000000">
      <w:pPr>
        <w:spacing w:after="0" w:line="360" w:lineRule="auto"/>
        <w:ind w:left="720" w:hanging="720"/>
        <w:jc w:val="both"/>
        <w:rPr>
          <w:rFonts w:ascii="Garamond" w:hAnsi="Garamond" w:cs="Garamond"/>
          <w:sz w:val="22"/>
        </w:rPr>
      </w:pPr>
      <w:r>
        <w:rPr>
          <w:rFonts w:ascii="Garamond" w:hAnsi="Garamond" w:cs="Garamond"/>
          <w:sz w:val="22"/>
        </w:rPr>
        <w:t xml:space="preserve">Dinas Tata Kota. 1948. </w:t>
      </w:r>
      <w:r>
        <w:rPr>
          <w:rFonts w:ascii="Garamond" w:hAnsi="Garamond" w:cs="Garamond"/>
          <w:i/>
          <w:sz w:val="22"/>
        </w:rPr>
        <w:t>Undang-undang pembentukan kota: terjemahan dari stadsvorming ordonnantie s.v.o. 1948</w:t>
      </w:r>
      <w:r>
        <w:rPr>
          <w:rFonts w:ascii="Garamond" w:hAnsi="Garamond" w:cs="Garamond"/>
          <w:sz w:val="22"/>
        </w:rPr>
        <w:t>. Jakarta: Model Dinas Tata Kota.</w:t>
      </w:r>
    </w:p>
    <w:p w14:paraId="4A8FF67B" w14:textId="77777777" w:rsidR="00C813F8" w:rsidRDefault="00000000">
      <w:pPr>
        <w:spacing w:after="0" w:line="360" w:lineRule="auto"/>
        <w:ind w:left="720" w:hanging="720"/>
        <w:jc w:val="both"/>
        <w:rPr>
          <w:rFonts w:ascii="Garamond" w:hAnsi="Garamond" w:cs="Garamond"/>
          <w:sz w:val="22"/>
        </w:rPr>
      </w:pPr>
      <w:r>
        <w:rPr>
          <w:rFonts w:ascii="Garamond" w:hAnsi="Garamond" w:cs="Garamond"/>
          <w:sz w:val="22"/>
        </w:rPr>
        <w:t xml:space="preserve">Indonesia.Departemen Pendidikan dan Kebudajaan. 1973. </w:t>
      </w:r>
      <w:r>
        <w:rPr>
          <w:rFonts w:ascii="Garamond" w:hAnsi="Garamond" w:cs="Garamond"/>
          <w:i/>
          <w:sz w:val="22"/>
        </w:rPr>
        <w:t xml:space="preserve">Cultural policy in Indonesia </w:t>
      </w:r>
      <w:r>
        <w:rPr>
          <w:rFonts w:ascii="Garamond" w:hAnsi="Garamond" w:cs="Garamond"/>
          <w:sz w:val="22"/>
        </w:rPr>
        <w:t xml:space="preserve">Unesco </w:t>
      </w:r>
    </w:p>
    <w:p w14:paraId="0FEF98BD" w14:textId="77777777" w:rsidR="00C813F8" w:rsidRDefault="00000000">
      <w:pPr>
        <w:spacing w:after="0" w:line="360" w:lineRule="auto"/>
        <w:ind w:left="720" w:hanging="720"/>
        <w:jc w:val="both"/>
        <w:rPr>
          <w:rFonts w:ascii="Garamond" w:hAnsi="Garamond" w:cs="Garamond"/>
          <w:sz w:val="22"/>
        </w:rPr>
      </w:pPr>
      <w:r>
        <w:rPr>
          <w:rFonts w:ascii="Garamond" w:hAnsi="Garamond" w:cs="Garamond"/>
          <w:sz w:val="22"/>
        </w:rPr>
        <w:t xml:space="preserve">Jokilehto, J. 1986. </w:t>
      </w:r>
      <w:r>
        <w:rPr>
          <w:rFonts w:ascii="Garamond" w:hAnsi="Garamond" w:cs="Garamond"/>
          <w:i/>
          <w:sz w:val="22"/>
        </w:rPr>
        <w:t>A History of Architectural Conservation.</w:t>
      </w:r>
      <w:r>
        <w:rPr>
          <w:rFonts w:ascii="Garamond" w:hAnsi="Garamond" w:cs="Garamond"/>
          <w:sz w:val="22"/>
        </w:rPr>
        <w:t xml:space="preserve"> Unpublished PhD Thesis, University of York, York.</w:t>
      </w:r>
    </w:p>
    <w:p w14:paraId="75C34C25" w14:textId="77777777" w:rsidR="00C813F8" w:rsidRDefault="00000000">
      <w:pPr>
        <w:spacing w:after="0" w:line="360" w:lineRule="auto"/>
        <w:ind w:left="720" w:hanging="720"/>
        <w:jc w:val="both"/>
        <w:rPr>
          <w:rFonts w:ascii="Garamond" w:hAnsi="Garamond" w:cs="Garamond"/>
          <w:sz w:val="22"/>
        </w:rPr>
      </w:pPr>
      <w:r>
        <w:rPr>
          <w:rFonts w:ascii="Garamond" w:hAnsi="Garamond" w:cs="Garamond"/>
          <w:sz w:val="22"/>
        </w:rPr>
        <w:t xml:space="preserve">Nas, P. J. M. 1986. Introduction: A General View on the Indonesian Town. In P. J. M. Nas (Ed.), </w:t>
      </w:r>
      <w:r>
        <w:rPr>
          <w:rFonts w:ascii="Garamond" w:hAnsi="Garamond" w:cs="Garamond"/>
          <w:i/>
          <w:sz w:val="22"/>
        </w:rPr>
        <w:t>The Indonesia City. Studies in Urban Development and Planning</w:t>
      </w:r>
      <w:r>
        <w:rPr>
          <w:rFonts w:ascii="Garamond" w:hAnsi="Garamond" w:cs="Garamond"/>
          <w:sz w:val="22"/>
        </w:rPr>
        <w:t xml:space="preserve"> (pp. 1-17). Dordrecht: Foris Publications Holland.</w:t>
      </w:r>
    </w:p>
    <w:p w14:paraId="604D1E33" w14:textId="77777777" w:rsidR="00C813F8" w:rsidRDefault="00000000">
      <w:pPr>
        <w:spacing w:after="0" w:line="360" w:lineRule="auto"/>
        <w:ind w:left="720" w:hanging="720"/>
        <w:jc w:val="both"/>
        <w:rPr>
          <w:rFonts w:ascii="Garamond" w:eastAsiaTheme="minorHAnsi" w:hAnsi="Garamond" w:cs="Garamond"/>
          <w:sz w:val="22"/>
        </w:rPr>
      </w:pPr>
      <w:r>
        <w:rPr>
          <w:rFonts w:ascii="Garamond" w:eastAsiaTheme="minorHAnsi" w:hAnsi="Garamond" w:cs="Garamond"/>
          <w:sz w:val="22"/>
        </w:rPr>
        <w:t xml:space="preserve">Pemerintah Republik Indonesia. 2010. </w:t>
      </w:r>
      <w:r>
        <w:rPr>
          <w:rFonts w:ascii="Garamond" w:eastAsiaTheme="minorHAnsi" w:hAnsi="Garamond" w:cs="Garamond"/>
          <w:i/>
          <w:iCs/>
          <w:sz w:val="22"/>
        </w:rPr>
        <w:t>Undang-Undang Cagar Budaya No.11 Tahun 2010</w:t>
      </w:r>
      <w:r>
        <w:rPr>
          <w:rFonts w:ascii="Garamond" w:eastAsiaTheme="minorHAnsi" w:hAnsi="Garamond" w:cs="Garamond"/>
          <w:sz w:val="22"/>
        </w:rPr>
        <w:t>.</w:t>
      </w:r>
    </w:p>
    <w:p w14:paraId="098C86FD" w14:textId="77777777" w:rsidR="00C813F8" w:rsidRDefault="00000000">
      <w:pPr>
        <w:spacing w:after="0" w:line="360" w:lineRule="auto"/>
        <w:ind w:left="720" w:hanging="720"/>
        <w:jc w:val="both"/>
        <w:rPr>
          <w:rFonts w:ascii="Garamond" w:hAnsi="Garamond" w:cs="Garamond"/>
          <w:sz w:val="22"/>
        </w:rPr>
      </w:pPr>
      <w:r>
        <w:rPr>
          <w:rFonts w:ascii="Garamond" w:hAnsi="Garamond" w:cs="Garamond"/>
          <w:sz w:val="22"/>
        </w:rPr>
        <w:t xml:space="preserve">Prott, L. V., &amp; O'Keef, P. J. 1992. 'Cultural Heritage' or 'Cultural Property'? </w:t>
      </w:r>
      <w:r>
        <w:rPr>
          <w:rFonts w:ascii="Garamond" w:hAnsi="Garamond" w:cs="Garamond"/>
          <w:i/>
          <w:sz w:val="22"/>
        </w:rPr>
        <w:t xml:space="preserve">International Journal of Cultural Property, Volume 1  </w:t>
      </w:r>
      <w:r>
        <w:rPr>
          <w:rFonts w:ascii="Garamond" w:hAnsi="Garamond" w:cs="Garamond"/>
          <w:sz w:val="22"/>
        </w:rPr>
        <w:t>(Issue 02), pp 307-320.</w:t>
      </w:r>
    </w:p>
    <w:p w14:paraId="6F234012" w14:textId="77777777" w:rsidR="00C813F8" w:rsidRDefault="00000000">
      <w:pPr>
        <w:spacing w:after="0" w:line="360" w:lineRule="auto"/>
        <w:ind w:left="720" w:hanging="720"/>
        <w:jc w:val="both"/>
        <w:rPr>
          <w:rFonts w:ascii="Garamond" w:hAnsi="Garamond" w:cs="Garamond"/>
          <w:sz w:val="22"/>
        </w:rPr>
      </w:pPr>
      <w:r>
        <w:rPr>
          <w:rFonts w:ascii="Garamond" w:eastAsiaTheme="minorHAnsi" w:hAnsi="Garamond" w:cs="Garamond"/>
          <w:sz w:val="22"/>
        </w:rPr>
        <w:t xml:space="preserve">Roosmalen, P. K. M. V. 2005. </w:t>
      </w:r>
      <w:r>
        <w:rPr>
          <w:rFonts w:ascii="Garamond" w:eastAsiaTheme="minorHAnsi" w:hAnsi="Garamond" w:cs="Garamond"/>
          <w:i/>
          <w:iCs/>
          <w:sz w:val="22"/>
        </w:rPr>
        <w:t>Yours or Mine? Architectural Heritage in Indonesia</w:t>
      </w:r>
      <w:r>
        <w:rPr>
          <w:rFonts w:ascii="Garamond" w:eastAsiaTheme="minorHAnsi" w:hAnsi="Garamond" w:cs="Garamond"/>
          <w:sz w:val="22"/>
        </w:rPr>
        <w:t>. Paper presented at the mAAN Conference</w:t>
      </w:r>
    </w:p>
    <w:p w14:paraId="365DDA2A" w14:textId="77777777" w:rsidR="00C813F8" w:rsidRDefault="00000000">
      <w:pPr>
        <w:spacing w:after="0" w:line="360" w:lineRule="auto"/>
        <w:ind w:left="720" w:hanging="720"/>
        <w:jc w:val="both"/>
        <w:rPr>
          <w:rFonts w:ascii="Garamond" w:hAnsi="Garamond" w:cs="Garamond"/>
          <w:sz w:val="22"/>
        </w:rPr>
      </w:pPr>
      <w:r>
        <w:rPr>
          <w:rFonts w:ascii="Garamond" w:hAnsi="Garamond" w:cs="Garamond"/>
          <w:sz w:val="22"/>
        </w:rPr>
        <w:t xml:space="preserve">Roosmalen, P. K. M. V. 2002. Image Style and Status: A Sketch of the and Impact of Private Entrepirse as a Commissioner of Architecture and Urban Development in Dutch East Indies from 1879 to 1942. </w:t>
      </w:r>
      <w:r>
        <w:rPr>
          <w:rFonts w:ascii="Garamond" w:hAnsi="Garamond" w:cs="Garamond"/>
          <w:i/>
          <w:sz w:val="22"/>
        </w:rPr>
        <w:t xml:space="preserve">Journal Southeast Asian Architecture, Vol 6 </w:t>
      </w:r>
      <w:r>
        <w:rPr>
          <w:rFonts w:ascii="Garamond" w:hAnsi="Garamond" w:cs="Garamond"/>
          <w:sz w:val="22"/>
        </w:rPr>
        <w:t>pp.61-74.</w:t>
      </w:r>
    </w:p>
    <w:p w14:paraId="49875F30" w14:textId="77777777" w:rsidR="00C813F8" w:rsidRDefault="00000000">
      <w:pPr>
        <w:spacing w:after="0" w:line="360" w:lineRule="auto"/>
        <w:ind w:left="720" w:hanging="720"/>
        <w:jc w:val="both"/>
        <w:rPr>
          <w:rFonts w:ascii="Garamond" w:hAnsi="Garamond" w:cs="Garamond"/>
          <w:sz w:val="22"/>
        </w:rPr>
      </w:pPr>
      <w:r>
        <w:rPr>
          <w:rFonts w:ascii="Garamond" w:eastAsiaTheme="minorHAnsi" w:hAnsi="Garamond" w:cs="Garamond"/>
          <w:sz w:val="22"/>
        </w:rPr>
        <w:t xml:space="preserve">Roosmalen, P. K. M. V. 2005. </w:t>
      </w:r>
      <w:r>
        <w:rPr>
          <w:rFonts w:ascii="Garamond" w:eastAsiaTheme="minorHAnsi" w:hAnsi="Garamond" w:cs="Garamond"/>
          <w:i/>
          <w:iCs/>
          <w:sz w:val="22"/>
        </w:rPr>
        <w:t>Yours or Mine? Architectural Heritage in Indonesia</w:t>
      </w:r>
      <w:r>
        <w:rPr>
          <w:rFonts w:ascii="Garamond" w:eastAsiaTheme="minorHAnsi" w:hAnsi="Garamond" w:cs="Garamond"/>
          <w:sz w:val="22"/>
        </w:rPr>
        <w:t>. Paper presented at the mAAN Conference</w:t>
      </w:r>
    </w:p>
    <w:p w14:paraId="695B9DC9" w14:textId="77777777" w:rsidR="00C813F8" w:rsidRDefault="00000000">
      <w:pPr>
        <w:spacing w:after="0" w:line="360" w:lineRule="auto"/>
        <w:ind w:left="720" w:hanging="720"/>
        <w:jc w:val="both"/>
        <w:rPr>
          <w:rFonts w:ascii="Garamond" w:hAnsi="Garamond" w:cs="Garamond"/>
          <w:sz w:val="22"/>
        </w:rPr>
      </w:pPr>
      <w:r>
        <w:rPr>
          <w:rFonts w:ascii="Garamond" w:hAnsi="Garamond" w:cs="Garamond"/>
          <w:sz w:val="22"/>
        </w:rPr>
        <w:t xml:space="preserve">Tanudirjo, D. A. 2003. </w:t>
      </w:r>
      <w:r>
        <w:rPr>
          <w:rFonts w:ascii="Garamond" w:hAnsi="Garamond" w:cs="Garamond"/>
          <w:i/>
          <w:sz w:val="22"/>
        </w:rPr>
        <w:t>Warisan Budaya Untuk Semua: Arah Kebijakan Pengelola Warisan Budaya Indonesia Di Masa Mendatang</w:t>
      </w:r>
      <w:r>
        <w:rPr>
          <w:rFonts w:ascii="Garamond" w:hAnsi="Garamond" w:cs="Garamond"/>
          <w:sz w:val="22"/>
        </w:rPr>
        <w:t xml:space="preserve">. Paper presented at the Kongres Kebudayaan V. </w:t>
      </w:r>
    </w:p>
    <w:p w14:paraId="7AC110B1" w14:textId="77777777" w:rsidR="00C813F8" w:rsidRDefault="00000000">
      <w:pPr>
        <w:spacing w:after="0" w:line="360" w:lineRule="auto"/>
        <w:ind w:left="720" w:hanging="720"/>
        <w:jc w:val="both"/>
        <w:rPr>
          <w:rFonts w:ascii="Garamond" w:hAnsi="Garamond" w:cs="Garamond"/>
          <w:sz w:val="22"/>
        </w:rPr>
      </w:pPr>
      <w:r>
        <w:rPr>
          <w:rFonts w:ascii="Garamond" w:hAnsi="Garamond" w:cs="Garamond"/>
          <w:sz w:val="22"/>
        </w:rPr>
        <w:t xml:space="preserve">Tanudirjo, D. A. 2007. </w:t>
      </w:r>
      <w:r>
        <w:rPr>
          <w:rFonts w:ascii="Garamond" w:hAnsi="Garamond" w:cs="Garamond"/>
          <w:i/>
          <w:sz w:val="22"/>
        </w:rPr>
        <w:t>Cultural Landscape Heritage Management in Indonesia An Archaeological Perspective1</w:t>
      </w:r>
      <w:r>
        <w:rPr>
          <w:rFonts w:ascii="Garamond" w:hAnsi="Garamond" w:cs="Garamond"/>
          <w:sz w:val="22"/>
        </w:rPr>
        <w:t xml:space="preserve">. Paper presented at the The First International Symposium on Borobudur Cultural Landscape Heritage </w:t>
      </w:r>
    </w:p>
    <w:p w14:paraId="5BAA4CFC" w14:textId="77777777" w:rsidR="00C813F8" w:rsidRDefault="00000000">
      <w:pPr>
        <w:autoSpaceDE w:val="0"/>
        <w:autoSpaceDN w:val="0"/>
        <w:adjustRightInd w:val="0"/>
        <w:spacing w:after="0" w:line="360" w:lineRule="auto"/>
        <w:ind w:left="720" w:hanging="720"/>
        <w:jc w:val="both"/>
        <w:rPr>
          <w:rFonts w:ascii="Garamond" w:eastAsiaTheme="minorHAnsi" w:hAnsi="Garamond" w:cs="Garamond"/>
          <w:sz w:val="22"/>
        </w:rPr>
      </w:pPr>
      <w:r>
        <w:rPr>
          <w:rFonts w:ascii="Garamond" w:eastAsiaTheme="minorHAnsi" w:hAnsi="Garamond" w:cs="Garamond"/>
          <w:sz w:val="22"/>
        </w:rPr>
        <w:t xml:space="preserve">Tanudirjo, D. A. 2010. </w:t>
      </w:r>
      <w:r>
        <w:rPr>
          <w:rFonts w:ascii="Garamond" w:eastAsiaTheme="minorHAnsi" w:hAnsi="Garamond" w:cs="Garamond"/>
          <w:i/>
          <w:iCs/>
          <w:sz w:val="22"/>
        </w:rPr>
        <w:t xml:space="preserve">Undang-undang Cagar Budaya 2010 dalam perspektif arkeologi </w:t>
      </w:r>
      <w:r>
        <w:rPr>
          <w:rFonts w:ascii="Garamond" w:eastAsiaTheme="minorHAnsi" w:hAnsi="Garamond" w:cs="Garamond"/>
          <w:sz w:val="22"/>
        </w:rPr>
        <w:t>Paper presented at the Diskusi Pembahasan Undang-Undang tentang Cagar Budaya. Yogyakarta</w:t>
      </w:r>
    </w:p>
    <w:p w14:paraId="2F5854F6" w14:textId="77777777" w:rsidR="00C813F8" w:rsidRDefault="00000000">
      <w:pPr>
        <w:spacing w:after="0" w:line="360" w:lineRule="auto"/>
        <w:ind w:left="720" w:hanging="720"/>
        <w:jc w:val="both"/>
        <w:rPr>
          <w:rFonts w:ascii="Garamond" w:hAnsi="Garamond" w:cs="Garamond"/>
          <w:sz w:val="22"/>
        </w:rPr>
      </w:pPr>
      <w:r>
        <w:rPr>
          <w:rFonts w:ascii="Garamond" w:hAnsi="Garamond" w:cs="Garamond"/>
          <w:sz w:val="22"/>
        </w:rPr>
        <w:lastRenderedPageBreak/>
        <w:t xml:space="preserve">Tjandrasasmita, U., Teguh Asmar, M. A., Bambang Soenarja, B. S., &amp; Soebomo, E. S. 1989. </w:t>
      </w:r>
      <w:r>
        <w:rPr>
          <w:rFonts w:ascii="Garamond" w:hAnsi="Garamond" w:cs="Garamond"/>
          <w:i/>
          <w:sz w:val="22"/>
        </w:rPr>
        <w:t>Himpunan Peraturan-Peraturan Perlindungan Cagar Budaya Nasional</w:t>
      </w:r>
      <w:r>
        <w:rPr>
          <w:rFonts w:ascii="Garamond" w:hAnsi="Garamond" w:cs="Garamond"/>
          <w:sz w:val="22"/>
        </w:rPr>
        <w:t>. Prambanan: Suaka Peninggalan Sejarah dan Purbakala Propinsi Jawa Tengah, Departemen Pendidikan dan Kebudayaan, Direktorat Jenderal Kebudayaan.</w:t>
      </w:r>
    </w:p>
    <w:p w14:paraId="6AC02D0B" w14:textId="77777777" w:rsidR="00C813F8" w:rsidRDefault="00000000">
      <w:pPr>
        <w:spacing w:after="0" w:line="360" w:lineRule="auto"/>
        <w:ind w:left="720" w:hanging="720"/>
        <w:jc w:val="both"/>
        <w:rPr>
          <w:rFonts w:ascii="Garamond" w:eastAsiaTheme="minorHAnsi" w:hAnsi="Garamond" w:cs="Garamond"/>
          <w:sz w:val="22"/>
        </w:rPr>
      </w:pPr>
      <w:r>
        <w:rPr>
          <w:rFonts w:ascii="Garamond" w:eastAsiaTheme="minorHAnsi" w:hAnsi="Garamond" w:cs="Garamond"/>
          <w:sz w:val="22"/>
        </w:rPr>
        <w:t>UNESCO. 1976. Nairobi Recommendation: International Recommendation concerning the Safeguarding and Contemporary Role of Historic Areas</w:t>
      </w:r>
    </w:p>
    <w:p w14:paraId="698CEA5E" w14:textId="77777777" w:rsidR="00C813F8" w:rsidRDefault="00000000">
      <w:pPr>
        <w:spacing w:after="0" w:line="360" w:lineRule="auto"/>
        <w:ind w:left="720" w:hanging="720"/>
        <w:jc w:val="both"/>
        <w:rPr>
          <w:rFonts w:ascii="Garamond" w:hAnsi="Garamond" w:cs="Garamond"/>
          <w:sz w:val="22"/>
        </w:rPr>
      </w:pPr>
      <w:r>
        <w:rPr>
          <w:rFonts w:ascii="Garamond" w:hAnsi="Garamond" w:cs="Garamond"/>
          <w:sz w:val="22"/>
        </w:rPr>
        <w:t xml:space="preserve">Winarni, &amp; Wahjudin, J. 2000. Lembaga Purbakala Indonesia. Dari Masa ke Masa. </w:t>
      </w:r>
      <w:r>
        <w:rPr>
          <w:rFonts w:ascii="Garamond" w:hAnsi="Garamond" w:cs="Garamond"/>
          <w:i/>
          <w:sz w:val="22"/>
        </w:rPr>
        <w:t>Buletin Cagar Budaya, Vol.1 No.2 (Juli)</w:t>
      </w:r>
      <w:r>
        <w:rPr>
          <w:rFonts w:ascii="Garamond" w:hAnsi="Garamond" w:cs="Garamond"/>
          <w:sz w:val="22"/>
        </w:rPr>
        <w:t>, pp.3-10.</w:t>
      </w:r>
    </w:p>
    <w:p w14:paraId="5E07FD26" w14:textId="77777777" w:rsidR="00C813F8" w:rsidRDefault="00000000">
      <w:pPr>
        <w:spacing w:after="0" w:line="360" w:lineRule="auto"/>
        <w:ind w:left="720" w:hanging="720"/>
        <w:jc w:val="both"/>
        <w:rPr>
          <w:b/>
          <w:lang w:val="sv-SE"/>
        </w:rPr>
      </w:pPr>
      <w:r>
        <w:rPr>
          <w:rFonts w:ascii="Garamond" w:hAnsi="Garamond" w:cs="Garamond"/>
          <w:sz w:val="22"/>
        </w:rPr>
        <w:t>Yahaya, A. 2006. The Scope and Definitions of Heritage: From Tangible to Intangible.</w:t>
      </w:r>
      <w:r>
        <w:rPr>
          <w:rFonts w:ascii="Garamond" w:hAnsi="Garamond" w:cs="Garamond"/>
          <w:i/>
          <w:sz w:val="22"/>
        </w:rPr>
        <w:t>International Journal of Heritage Studies</w:t>
      </w:r>
      <w:r>
        <w:rPr>
          <w:rFonts w:ascii="Garamond" w:hAnsi="Garamond" w:cs="Garamond"/>
          <w:sz w:val="22"/>
        </w:rPr>
        <w:t xml:space="preserve">, </w:t>
      </w:r>
      <w:r>
        <w:rPr>
          <w:rFonts w:ascii="Garamond" w:hAnsi="Garamond" w:cs="Garamond"/>
          <w:i/>
          <w:sz w:val="22"/>
        </w:rPr>
        <w:t>12 (3)</w:t>
      </w:r>
      <w:r>
        <w:rPr>
          <w:rFonts w:ascii="Garamond" w:hAnsi="Garamond" w:cs="Garamond"/>
          <w:sz w:val="22"/>
        </w:rPr>
        <w:t xml:space="preserve">, p.292-300. </w:t>
      </w:r>
    </w:p>
    <w:p w14:paraId="7387954F" w14:textId="77777777" w:rsidR="00C813F8" w:rsidRDefault="00C813F8">
      <w:pPr>
        <w:pStyle w:val="Paragraph"/>
        <w:spacing w:line="360" w:lineRule="auto"/>
        <w:rPr>
          <w:lang w:val="sv-SE"/>
        </w:rPr>
      </w:pPr>
    </w:p>
    <w:p w14:paraId="3377F73A" w14:textId="77777777" w:rsidR="00C813F8" w:rsidRDefault="00C813F8">
      <w:pPr>
        <w:spacing w:line="360" w:lineRule="auto"/>
        <w:rPr>
          <w:rFonts w:ascii="Garamond" w:hAnsi="Garamond"/>
        </w:rPr>
        <w:sectPr w:rsidR="00C813F8" w:rsidSect="003F2003">
          <w:type w:val="continuous"/>
          <w:pgSz w:w="11906" w:h="16838"/>
          <w:pgMar w:top="1985" w:right="1440" w:bottom="1440" w:left="1474" w:header="709" w:footer="709" w:gutter="0"/>
          <w:pgNumType w:start="39" w:chapStyle="1"/>
          <w:cols w:space="708"/>
          <w:titlePg/>
          <w:docGrid w:linePitch="360"/>
        </w:sectPr>
      </w:pPr>
    </w:p>
    <w:p w14:paraId="1C544BE8" w14:textId="77777777" w:rsidR="00C813F8" w:rsidRDefault="00000000">
      <w:pPr>
        <w:spacing w:line="360" w:lineRule="auto"/>
        <w:rPr>
          <w:rFonts w:ascii="Garamond" w:hAnsi="Garamond"/>
        </w:rPr>
      </w:pPr>
      <w:r>
        <w:rPr>
          <w:rFonts w:ascii="Garamond" w:hAnsi="Garamond"/>
        </w:rPr>
        <w:t xml:space="preserve">      </w:t>
      </w:r>
    </w:p>
    <w:p w14:paraId="68F0C2F8" w14:textId="77777777" w:rsidR="00C813F8" w:rsidRDefault="00C813F8">
      <w:pPr>
        <w:pStyle w:val="Sistematika"/>
        <w:spacing w:before="0" w:beforeAutospacing="0" w:after="0"/>
      </w:pPr>
    </w:p>
    <w:sectPr w:rsidR="00C813F8">
      <w:type w:val="continuous"/>
      <w:pgSz w:w="11906" w:h="16838"/>
      <w:pgMar w:top="1440" w:right="1440" w:bottom="1440" w:left="1440" w:header="708" w:footer="708"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4E7AD" w14:textId="77777777" w:rsidR="002E17D2" w:rsidRDefault="002E17D2">
      <w:pPr>
        <w:spacing w:line="240" w:lineRule="auto"/>
      </w:pPr>
    </w:p>
  </w:endnote>
  <w:endnote w:type="continuationSeparator" w:id="0">
    <w:p w14:paraId="1C52CE81" w14:textId="77777777" w:rsidR="002E17D2" w:rsidRDefault="002E17D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ans-serif">
    <w:altName w:val="Segoe Print"/>
    <w:charset w:val="00"/>
    <w:family w:val="auto"/>
    <w:pitch w:val="default"/>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4C621" w14:textId="72CA563E" w:rsidR="00C813F8" w:rsidRPr="003F2003" w:rsidRDefault="003F2003" w:rsidP="003F2003">
    <w:pPr>
      <w:pStyle w:val="Footer"/>
    </w:pPr>
    <w:r>
      <w:rPr>
        <w:rFonts w:ascii="Calibri" w:hAnsi="Calibri" w:cs="Calibri"/>
        <w:noProof/>
        <w:sz w:val="18"/>
        <w:szCs w:val="18"/>
        <w:lang w:val="en-US"/>
      </w:rPr>
      <mc:AlternateContent>
        <mc:Choice Requires="wps">
          <w:drawing>
            <wp:anchor distT="0" distB="0" distL="114300" distR="114300" simplePos="0" relativeHeight="251669504" behindDoc="0" locked="0" layoutInCell="1" allowOverlap="1" wp14:anchorId="575B7BC3" wp14:editId="37DF3F09">
              <wp:simplePos x="0" y="0"/>
              <wp:positionH relativeFrom="column">
                <wp:posOffset>-180975</wp:posOffset>
              </wp:positionH>
              <wp:positionV relativeFrom="paragraph">
                <wp:posOffset>-161925</wp:posOffset>
              </wp:positionV>
              <wp:extent cx="2857500" cy="257175"/>
              <wp:effectExtent l="0" t="0" r="0" b="0"/>
              <wp:wrapNone/>
              <wp:docPr id="1553724674" name="Rectangle 6"/>
              <wp:cNvGraphicFramePr/>
              <a:graphic xmlns:a="http://schemas.openxmlformats.org/drawingml/2006/main">
                <a:graphicData uri="http://schemas.microsoft.com/office/word/2010/wordprocessingShape">
                  <wps:wsp>
                    <wps:cNvSpPr/>
                    <wps:spPr>
                      <a:xfrm>
                        <a:off x="0" y="0"/>
                        <a:ext cx="2857500" cy="25717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1A99BC9" w14:textId="77777777" w:rsidR="003F2003" w:rsidRPr="003F2003" w:rsidRDefault="003F2003" w:rsidP="003F2003">
                          <w:pPr>
                            <w:jc w:val="center"/>
                            <w:rPr>
                              <w:rFonts w:ascii="Garamond" w:hAnsi="Garamond"/>
                              <w:sz w:val="22"/>
                            </w:rPr>
                          </w:pPr>
                          <w:r w:rsidRPr="003F2003">
                            <w:rPr>
                              <w:rFonts w:ascii="Garamond" w:hAnsi="Garamond" w:cs="Calibri"/>
                              <w:color w:val="000000" w:themeColor="text1"/>
                              <w:sz w:val="22"/>
                              <w:lang w:val="en-US"/>
                            </w:rPr>
                            <w:t>Jurnal EduLegis Vol.1 No.1 November</w:t>
                          </w:r>
                          <w:r>
                            <w:rPr>
                              <w:rFonts w:ascii="Garamond" w:hAnsi="Garamond" w:cs="Calibri"/>
                              <w:color w:val="000000" w:themeColor="text1"/>
                              <w:sz w:val="22"/>
                              <w:lang w:val="en-US"/>
                            </w:rPr>
                            <w:t xml:space="preserve"> 2025</w:t>
                          </w:r>
                          <w:r w:rsidRPr="003F2003">
                            <w:rPr>
                              <w:rFonts w:ascii="Garamond" w:hAnsi="Garamond" w:cs="Calibri"/>
                              <w:sz w:val="22"/>
                              <w:lang w:val="en-US"/>
                            </w:rPr>
                            <w:t>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5B7BC3" id="Rectangle 6" o:spid="_x0000_s1026" style="position:absolute;margin-left:-14.25pt;margin-top:-12.75pt;width:225pt;height:2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" filled="f" stroked="f" strokeweight="1pt">
              <v:textbox>
                <w:txbxContent>
                  <w:p w14:paraId="51A99BC9" w14:textId="77777777" w:rsidR="003F2003" w:rsidRPr="003F2003" w:rsidRDefault="003F2003" w:rsidP="003F2003">
                    <w:pPr>
                      <w:jc w:val="center"/>
                      <w:rPr>
                        <w:rFonts w:ascii="Garamond" w:hAnsi="Garamond"/>
                        <w:sz w:val="22"/>
                      </w:rPr>
                    </w:pPr>
                    <w:r w:rsidRPr="003F2003">
                      <w:rPr>
                        <w:rFonts w:ascii="Garamond" w:hAnsi="Garamond" w:cs="Calibri"/>
                        <w:color w:val="000000" w:themeColor="text1"/>
                        <w:sz w:val="22"/>
                        <w:lang w:val="en-US"/>
                      </w:rPr>
                      <w:t>Jurnal EduLegis Vol.1 No.1 November</w:t>
                    </w:r>
                    <w:r>
                      <w:rPr>
                        <w:rFonts w:ascii="Garamond" w:hAnsi="Garamond" w:cs="Calibri"/>
                        <w:color w:val="000000" w:themeColor="text1"/>
                        <w:sz w:val="22"/>
                        <w:lang w:val="en-US"/>
                      </w:rPr>
                      <w:t xml:space="preserve"> 2025</w:t>
                    </w:r>
                    <w:r w:rsidRPr="003F2003">
                      <w:rPr>
                        <w:rFonts w:ascii="Garamond" w:hAnsi="Garamond" w:cs="Calibri"/>
                        <w:sz w:val="22"/>
                        <w:lang w:val="en-US"/>
                      </w:rPr>
                      <w:t>25</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7851183"/>
      <w:docPartObj>
        <w:docPartGallery w:val="Page Numbers (Bottom of Page)"/>
        <w:docPartUnique/>
      </w:docPartObj>
    </w:sdtPr>
    <w:sdtEndPr>
      <w:rPr>
        <w:noProof/>
      </w:rPr>
    </w:sdtEndPr>
    <w:sdtContent>
      <w:p w14:paraId="502C659B" w14:textId="00C02886" w:rsidR="003F2003" w:rsidRDefault="003F2003">
        <w:pPr>
          <w:pStyle w:val="Footer"/>
          <w:jc w:val="right"/>
        </w:pPr>
        <w:r w:rsidRPr="007801E3">
          <w:rPr>
            <w:rFonts w:ascii="Garamond" w:hAnsi="Garamond"/>
            <w:noProof/>
            <w:sz w:val="22"/>
            <w:szCs w:val="22"/>
          </w:rPr>
          <mc:AlternateContent>
            <mc:Choice Requires="wps">
              <w:drawing>
                <wp:anchor distT="0" distB="0" distL="114300" distR="114300" simplePos="0" relativeHeight="251671552" behindDoc="0" locked="0" layoutInCell="1" allowOverlap="1" wp14:anchorId="3EC3D0F4" wp14:editId="0227DBE8">
                  <wp:simplePos x="0" y="0"/>
                  <wp:positionH relativeFrom="column">
                    <wp:posOffset>21590</wp:posOffset>
                  </wp:positionH>
                  <wp:positionV relativeFrom="paragraph">
                    <wp:posOffset>13335</wp:posOffset>
                  </wp:positionV>
                  <wp:extent cx="2314575" cy="257175"/>
                  <wp:effectExtent l="0" t="0" r="9525" b="9525"/>
                  <wp:wrapNone/>
                  <wp:docPr id="980798943" name="Rectangle 4"/>
                  <wp:cNvGraphicFramePr/>
                  <a:graphic xmlns:a="http://schemas.openxmlformats.org/drawingml/2006/main">
                    <a:graphicData uri="http://schemas.microsoft.com/office/word/2010/wordprocessingShape">
                      <wps:wsp>
                        <wps:cNvSpPr/>
                        <wps:spPr>
                          <a:xfrm>
                            <a:off x="0" y="0"/>
                            <a:ext cx="2314575" cy="25717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0E8CAC7D" w14:textId="77777777" w:rsidR="003F2003" w:rsidRDefault="003F2003" w:rsidP="003F2003">
                              <w:pPr>
                                <w:jc w:val="center"/>
                              </w:pPr>
                              <w:r>
                                <w:rPr>
                                  <w:rFonts w:ascii="Calibri" w:hAnsi="Calibri" w:cs="Calibri"/>
                                  <w:sz w:val="18"/>
                                  <w:szCs w:val="18"/>
                                  <w:lang w:val="en-US"/>
                                </w:rPr>
                                <w:t>Jurnal EduLegis Vol.1 No.1 November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C3D0F4" id="Rectangle 4" o:spid="_x0000_s1027" style="position:absolute;left:0;text-align:left;margin-left:1.7pt;margin-top:1.05pt;width:182.25pt;height:2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" fillcolor="white [3201]" stroked="f" strokeweight="1pt">
                  <v:textbox>
                    <w:txbxContent>
                      <w:p w14:paraId="0E8CAC7D" w14:textId="77777777" w:rsidR="003F2003" w:rsidRDefault="003F2003" w:rsidP="003F2003">
                        <w:pPr>
                          <w:jc w:val="center"/>
                        </w:pPr>
                        <w:r>
                          <w:rPr>
                            <w:rFonts w:ascii="Calibri" w:hAnsi="Calibri" w:cs="Calibri"/>
                            <w:sz w:val="18"/>
                            <w:szCs w:val="18"/>
                            <w:lang w:val="en-US"/>
                          </w:rPr>
                          <w:t>Jurnal EduLegis Vol.1 No.1 November 2025</w:t>
                        </w:r>
                      </w:p>
                    </w:txbxContent>
                  </v:textbox>
                </v:rect>
              </w:pict>
            </mc:Fallback>
          </mc:AlternateContent>
        </w:r>
        <w:r w:rsidRPr="003F2003">
          <w:rPr>
            <w:rFonts w:ascii="Garamond" w:hAnsi="Garamond"/>
            <w:sz w:val="22"/>
            <w:szCs w:val="22"/>
          </w:rPr>
          <w:fldChar w:fldCharType="begin"/>
        </w:r>
        <w:r w:rsidRPr="003F2003">
          <w:rPr>
            <w:rFonts w:ascii="Garamond" w:hAnsi="Garamond"/>
            <w:sz w:val="22"/>
            <w:szCs w:val="22"/>
          </w:rPr>
          <w:instrText xml:space="preserve"> PAGE   \* MERGEFORMAT </w:instrText>
        </w:r>
        <w:r w:rsidRPr="003F2003">
          <w:rPr>
            <w:rFonts w:ascii="Garamond" w:hAnsi="Garamond"/>
            <w:sz w:val="22"/>
            <w:szCs w:val="22"/>
          </w:rPr>
          <w:fldChar w:fldCharType="separate"/>
        </w:r>
        <w:r w:rsidRPr="003F2003">
          <w:rPr>
            <w:rFonts w:ascii="Garamond" w:hAnsi="Garamond"/>
            <w:noProof/>
            <w:sz w:val="22"/>
            <w:szCs w:val="22"/>
          </w:rPr>
          <w:t>2</w:t>
        </w:r>
        <w:r w:rsidRPr="003F2003">
          <w:rPr>
            <w:rFonts w:ascii="Garamond" w:hAnsi="Garamond"/>
            <w:noProof/>
            <w:sz w:val="22"/>
            <w:szCs w:val="22"/>
          </w:rPr>
          <w:fldChar w:fldCharType="end"/>
        </w:r>
      </w:p>
    </w:sdtContent>
  </w:sdt>
  <w:p w14:paraId="1186AA78" w14:textId="349CDC67" w:rsidR="00C813F8" w:rsidRDefault="00C813F8">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6801680"/>
      <w:docPartObj>
        <w:docPartGallery w:val="Page Numbers (Bottom of Page)"/>
        <w:docPartUnique/>
      </w:docPartObj>
    </w:sdtPr>
    <w:sdtEndPr>
      <w:rPr>
        <w:noProof/>
      </w:rPr>
    </w:sdtEndPr>
    <w:sdtContent>
      <w:p w14:paraId="655BAD54" w14:textId="232BCC5A" w:rsidR="003F2003" w:rsidRDefault="003F200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338D9C" w14:textId="3828BEA8" w:rsidR="00C813F8" w:rsidRDefault="00C813F8">
    <w:pPr>
      <w:pStyle w:val="Footer"/>
      <w:rPr>
        <w:rFonts w:ascii="Calibri" w:hAnsi="Calibri" w:cs="Calibri"/>
        <w:sz w:val="18"/>
        <w:szCs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B7A5D" w14:textId="77777777" w:rsidR="002E17D2" w:rsidRDefault="002E17D2">
      <w:pPr>
        <w:spacing w:after="0"/>
      </w:pPr>
    </w:p>
  </w:footnote>
  <w:footnote w:type="continuationSeparator" w:id="0">
    <w:p w14:paraId="35AB025F" w14:textId="77777777" w:rsidR="002E17D2" w:rsidRDefault="002E17D2">
      <w:pPr>
        <w:spacing w:after="0"/>
      </w:pPr>
    </w:p>
  </w:footnote>
  <w:footnote w:id="1">
    <w:p w14:paraId="5AEC02EC" w14:textId="77777777" w:rsidR="00C813F8" w:rsidRDefault="00C813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FD227" w14:textId="48C7B8E9" w:rsidR="00C813F8" w:rsidRDefault="00000000">
    <w:pPr>
      <w:pStyle w:val="Header"/>
      <w:rPr>
        <w:rFonts w:ascii="Centaur" w:hAnsi="Centaur"/>
        <w:sz w:val="13"/>
        <w:szCs w:val="13"/>
      </w:rPr>
    </w:pPr>
    <w:r>
      <w:rPr>
        <w:noProof/>
      </w:rPr>
      <w:drawing>
        <wp:anchor distT="0" distB="0" distL="114300" distR="114300" simplePos="0" relativeHeight="251660288" behindDoc="1" locked="0" layoutInCell="1" allowOverlap="1" wp14:anchorId="4AE26B54" wp14:editId="75E75F8D">
          <wp:simplePos x="0" y="0"/>
          <wp:positionH relativeFrom="column">
            <wp:posOffset>313690</wp:posOffset>
          </wp:positionH>
          <wp:positionV relativeFrom="paragraph">
            <wp:posOffset>25400</wp:posOffset>
          </wp:positionV>
          <wp:extent cx="5404485" cy="770890"/>
          <wp:effectExtent l="0" t="0" r="5715" b="6350"/>
          <wp:wrapNone/>
          <wp:docPr id="2027983388" name="Picture 2027983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rcRect l="21701" t="35485" r="22189" b="48273"/>
                  <a:stretch>
                    <a:fillRect/>
                  </a:stretch>
                </pic:blipFill>
                <pic:spPr>
                  <a:xfrm>
                    <a:off x="0" y="0"/>
                    <a:ext cx="5404485" cy="77089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1E63" w14:textId="67A74975" w:rsidR="00C813F8" w:rsidRDefault="00000000">
    <w:pPr>
      <w:pStyle w:val="Headerdepan"/>
      <w:spacing w:before="120"/>
      <w:jc w:val="left"/>
      <w:rPr>
        <w:rFonts w:ascii="Centaur" w:hAnsi="Centaur"/>
        <w:sz w:val="22"/>
      </w:rPr>
    </w:pPr>
    <w:r>
      <w:rPr>
        <w:noProof/>
      </w:rPr>
      <w:drawing>
        <wp:anchor distT="0" distB="0" distL="114300" distR="114300" simplePos="0" relativeHeight="251661312" behindDoc="1" locked="0" layoutInCell="1" allowOverlap="1" wp14:anchorId="69CF7ECF" wp14:editId="1712D6D0">
          <wp:simplePos x="0" y="0"/>
          <wp:positionH relativeFrom="column">
            <wp:posOffset>66675</wp:posOffset>
          </wp:positionH>
          <wp:positionV relativeFrom="paragraph">
            <wp:posOffset>-245110</wp:posOffset>
          </wp:positionV>
          <wp:extent cx="5677535" cy="815975"/>
          <wp:effectExtent l="0" t="0" r="6985" b="6985"/>
          <wp:wrapNone/>
          <wp:docPr id="8390944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a:srcRect l="21701" t="35485" r="22189" b="48273"/>
                  <a:stretch>
                    <a:fillRect/>
                  </a:stretch>
                </pic:blipFill>
                <pic:spPr>
                  <a:xfrm>
                    <a:off x="0" y="0"/>
                    <a:ext cx="5677535" cy="81597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CEC7C" w14:textId="77777777" w:rsidR="00C813F8" w:rsidRDefault="00000000">
    <w:pPr>
      <w:pStyle w:val="Headerdepan"/>
      <w:spacing w:before="120"/>
      <w:jc w:val="left"/>
      <w:rPr>
        <w:lang w:val="it-IT"/>
      </w:rPr>
    </w:pPr>
    <w:r>
      <w:rPr>
        <w:noProof/>
      </w:rPr>
      <mc:AlternateContent>
        <mc:Choice Requires="wps">
          <w:drawing>
            <wp:anchor distT="0" distB="0" distL="114300" distR="114300" simplePos="0" relativeHeight="251662336" behindDoc="0" locked="0" layoutInCell="1" allowOverlap="1" wp14:anchorId="0295AD78" wp14:editId="432C849F">
              <wp:simplePos x="0" y="0"/>
              <wp:positionH relativeFrom="column">
                <wp:posOffset>1837055</wp:posOffset>
              </wp:positionH>
              <wp:positionV relativeFrom="paragraph">
                <wp:posOffset>970915</wp:posOffset>
              </wp:positionV>
              <wp:extent cx="3903345" cy="304800"/>
              <wp:effectExtent l="0" t="0" r="13335" b="0"/>
              <wp:wrapNone/>
              <wp:docPr id="5" name="Text Box 5"/>
              <wp:cNvGraphicFramePr/>
              <a:graphic xmlns:a="http://schemas.openxmlformats.org/drawingml/2006/main">
                <a:graphicData uri="http://schemas.microsoft.com/office/word/2010/wordprocessingShape">
                  <wps:wsp>
                    <wps:cNvSpPr txBox="1"/>
                    <wps:spPr>
                      <a:xfrm>
                        <a:off x="4083050" y="1534795"/>
                        <a:ext cx="3903345" cy="3048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1E3653A" w14:textId="77777777" w:rsidR="00C813F8" w:rsidRDefault="00000000">
                          <w:pPr>
                            <w:jc w:val="right"/>
                            <w:rPr>
                              <w:rFonts w:ascii="Garamond" w:hAnsi="Garamond" w:cs="Garamond"/>
                              <w:b/>
                              <w:bCs/>
                              <w:lang w:val="en-US"/>
                            </w:rPr>
                          </w:pPr>
                          <w:r>
                            <w:rPr>
                              <w:rFonts w:ascii="Garamond" w:hAnsi="Garamond" w:cs="Garamond"/>
                              <w:b/>
                              <w:bCs/>
                              <w:lang w:val="en-US"/>
                            </w:rPr>
                            <w:t>Jurnal EduLegis Volume 1 No.1 November 2025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0295AD78" id="_x0000_t202" coordsize="21600,21600" o:spt="202" path="m,l,21600r21600,l21600,xe">
              <v:stroke joinstyle="miter"/>
              <v:path gradientshapeok="t" o:connecttype="rect"/>
            </v:shapetype>
            <v:shape id="Text Box 5" o:spid="_x0000_s1028" type="#_x0000_t202" style="position:absolute;margin-left:144.65pt;margin-top:76.45pt;width:307.35pt;height:24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" fillcolor="white [3201]" stroked="f" strokeweight=".5pt">
              <v:textbox>
                <w:txbxContent>
                  <w:p w14:paraId="41E3653A" w14:textId="77777777" w:rsidR="00C813F8" w:rsidRDefault="00000000">
                    <w:pPr>
                      <w:jc w:val="right"/>
                      <w:rPr>
                        <w:rFonts w:ascii="Garamond" w:hAnsi="Garamond" w:cs="Garamond"/>
                        <w:b/>
                        <w:bCs/>
                        <w:lang w:val="en-US"/>
                      </w:rPr>
                    </w:pPr>
                    <w:r>
                      <w:rPr>
                        <w:rFonts w:ascii="Garamond" w:hAnsi="Garamond" w:cs="Garamond"/>
                        <w:b/>
                        <w:bCs/>
                        <w:lang w:val="en-US"/>
                      </w:rPr>
                      <w:t>Jurnal EduLegis Volume 1 No.1 November 2025</w:t>
                    </w:r>
                  </w:p>
                </w:txbxContent>
              </v:textbox>
            </v:shape>
          </w:pict>
        </mc:Fallback>
      </mc:AlternateContent>
    </w:r>
    <w:r>
      <w:rPr>
        <w:noProof/>
      </w:rPr>
      <w:drawing>
        <wp:anchor distT="0" distB="0" distL="114300" distR="114300" simplePos="0" relativeHeight="251659264" behindDoc="1" locked="0" layoutInCell="1" allowOverlap="1" wp14:anchorId="1DE8B22A" wp14:editId="0307BD0B">
          <wp:simplePos x="0" y="0"/>
          <wp:positionH relativeFrom="column">
            <wp:posOffset>47625</wp:posOffset>
          </wp:positionH>
          <wp:positionV relativeFrom="paragraph">
            <wp:posOffset>145415</wp:posOffset>
          </wp:positionV>
          <wp:extent cx="5677535" cy="815975"/>
          <wp:effectExtent l="0" t="0" r="6985" b="6985"/>
          <wp:wrapNone/>
          <wp:docPr id="17559362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pic:cNvPicPr>
                </pic:nvPicPr>
                <pic:blipFill>
                  <a:blip r:embed="rId1"/>
                  <a:srcRect l="21701" t="35485" r="22189" b="48273"/>
                  <a:stretch>
                    <a:fillRect/>
                  </a:stretch>
                </pic:blipFill>
                <pic:spPr>
                  <a:xfrm>
                    <a:off x="0" y="0"/>
                    <a:ext cx="5677535" cy="8159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00F3"/>
    <w:multiLevelType w:val="multilevel"/>
    <w:tmpl w:val="011000F3"/>
    <w:lvl w:ilvl="0">
      <w:start w:val="3"/>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3F6D682"/>
    <w:multiLevelType w:val="singleLevel"/>
    <w:tmpl w:val="23F6D682"/>
    <w:lvl w:ilvl="0">
      <w:start w:val="1"/>
      <w:numFmt w:val="decimal"/>
      <w:lvlText w:val="%1)"/>
      <w:lvlJc w:val="left"/>
      <w:pPr>
        <w:tabs>
          <w:tab w:val="left" w:pos="425"/>
        </w:tabs>
        <w:ind w:left="425" w:hanging="425"/>
      </w:pPr>
      <w:rPr>
        <w:rFonts w:hint="default"/>
      </w:rPr>
    </w:lvl>
  </w:abstractNum>
  <w:num w:numId="1" w16cid:durableId="1827435929">
    <w:abstractNumId w:val="1"/>
  </w:num>
  <w:num w:numId="2" w16cid:durableId="1138492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7A0"/>
    <w:rsid w:val="00060431"/>
    <w:rsid w:val="000E57E8"/>
    <w:rsid w:val="0014241C"/>
    <w:rsid w:val="001474C2"/>
    <w:rsid w:val="00163462"/>
    <w:rsid w:val="00197198"/>
    <w:rsid w:val="00254292"/>
    <w:rsid w:val="002857A0"/>
    <w:rsid w:val="002A4070"/>
    <w:rsid w:val="002C4CB5"/>
    <w:rsid w:val="002E17D2"/>
    <w:rsid w:val="00302AE6"/>
    <w:rsid w:val="00304559"/>
    <w:rsid w:val="00312694"/>
    <w:rsid w:val="0032037E"/>
    <w:rsid w:val="00353D5C"/>
    <w:rsid w:val="00377903"/>
    <w:rsid w:val="00397762"/>
    <w:rsid w:val="003A6F1F"/>
    <w:rsid w:val="003F2003"/>
    <w:rsid w:val="003F5C63"/>
    <w:rsid w:val="00483D22"/>
    <w:rsid w:val="004B0497"/>
    <w:rsid w:val="004B3CE3"/>
    <w:rsid w:val="004D5AC5"/>
    <w:rsid w:val="004E3E11"/>
    <w:rsid w:val="005438BC"/>
    <w:rsid w:val="00556C01"/>
    <w:rsid w:val="0056070F"/>
    <w:rsid w:val="00594460"/>
    <w:rsid w:val="00635621"/>
    <w:rsid w:val="00661738"/>
    <w:rsid w:val="00675082"/>
    <w:rsid w:val="00676E1B"/>
    <w:rsid w:val="006957B7"/>
    <w:rsid w:val="006A77AF"/>
    <w:rsid w:val="006E6D02"/>
    <w:rsid w:val="0072725E"/>
    <w:rsid w:val="00751C25"/>
    <w:rsid w:val="007834C1"/>
    <w:rsid w:val="007E2167"/>
    <w:rsid w:val="00867DDF"/>
    <w:rsid w:val="00880E5C"/>
    <w:rsid w:val="00885D8B"/>
    <w:rsid w:val="00895F7E"/>
    <w:rsid w:val="008A30EB"/>
    <w:rsid w:val="008B6EC3"/>
    <w:rsid w:val="008C276B"/>
    <w:rsid w:val="008F25C0"/>
    <w:rsid w:val="009047A8"/>
    <w:rsid w:val="00916529"/>
    <w:rsid w:val="00952537"/>
    <w:rsid w:val="009F1F0B"/>
    <w:rsid w:val="009F2CF1"/>
    <w:rsid w:val="009F3F10"/>
    <w:rsid w:val="00A434C7"/>
    <w:rsid w:val="00AC5593"/>
    <w:rsid w:val="00B012F4"/>
    <w:rsid w:val="00B03902"/>
    <w:rsid w:val="00B118BD"/>
    <w:rsid w:val="00B3541B"/>
    <w:rsid w:val="00BD2CD9"/>
    <w:rsid w:val="00BD4615"/>
    <w:rsid w:val="00C13C29"/>
    <w:rsid w:val="00C329F9"/>
    <w:rsid w:val="00C813F8"/>
    <w:rsid w:val="00C8150D"/>
    <w:rsid w:val="00C86D6B"/>
    <w:rsid w:val="00CA0A86"/>
    <w:rsid w:val="00CA3FB5"/>
    <w:rsid w:val="00CE3794"/>
    <w:rsid w:val="00CE3980"/>
    <w:rsid w:val="00CE6851"/>
    <w:rsid w:val="00D14126"/>
    <w:rsid w:val="00D55FA2"/>
    <w:rsid w:val="00D87355"/>
    <w:rsid w:val="00D96F8B"/>
    <w:rsid w:val="00DB4D58"/>
    <w:rsid w:val="00E45C13"/>
    <w:rsid w:val="00E87621"/>
    <w:rsid w:val="00EB6CEF"/>
    <w:rsid w:val="00EC584D"/>
    <w:rsid w:val="00FC35D5"/>
    <w:rsid w:val="00FE312E"/>
    <w:rsid w:val="00FE477B"/>
    <w:rsid w:val="00FF4CD2"/>
    <w:rsid w:val="087826A0"/>
    <w:rsid w:val="1D1B3AE7"/>
    <w:rsid w:val="2D9D3B98"/>
    <w:rsid w:val="44315700"/>
    <w:rsid w:val="52EE7DFA"/>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3CD383"/>
  <w15:docId w15:val="{7D98C26C-4607-467F-BAD7-04F21340E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Bookman Old Style" w:eastAsia="Calibri" w:hAnsi="Bookman Old Style"/>
      <w:sz w:val="24"/>
      <w:szCs w:val="22"/>
      <w:lang w:val="id-ID" w:eastAsia="en-US"/>
    </w:rPr>
  </w:style>
  <w:style w:type="paragraph" w:styleId="Heading1">
    <w:name w:val="heading 1"/>
    <w:basedOn w:val="Normal"/>
    <w:link w:val="Heading1Char"/>
    <w:uiPriority w:val="9"/>
    <w:qFormat/>
    <w:pPr>
      <w:keepNext/>
      <w:keepLines/>
      <w:spacing w:before="240" w:after="0"/>
      <w:outlineLvl w:val="0"/>
    </w:pPr>
    <w:rPr>
      <w:rFonts w:ascii="Garamond" w:eastAsiaTheme="majorEastAsia" w:hAnsi="Garamond" w:cstheme="majorBidi"/>
      <w:b/>
      <w:color w:val="000000" w:themeColor="text1"/>
      <w:szCs w:val="32"/>
    </w:rPr>
  </w:style>
  <w:style w:type="paragraph" w:styleId="Heading2">
    <w:name w:val="heading 2"/>
    <w:basedOn w:val="Normal"/>
    <w:uiPriority w:val="9"/>
    <w:qFormat/>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link w:val="BodyTextChar"/>
    <w:uiPriority w:val="99"/>
    <w:qFormat/>
    <w:pPr>
      <w:tabs>
        <w:tab w:val="left" w:pos="288"/>
      </w:tabs>
      <w:spacing w:after="120" w:line="228" w:lineRule="auto"/>
      <w:ind w:firstLine="288"/>
      <w:jc w:val="both"/>
    </w:pPr>
    <w:rPr>
      <w:rFonts w:ascii="Times New Roman" w:eastAsia="MS Mincho" w:hAnsi="Times New Roman"/>
      <w:spacing w:val="-1"/>
      <w:sz w:val="20"/>
      <w:szCs w:val="20"/>
      <w:lang w:val="en-US"/>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513"/>
        <w:tab w:val="right" w:pos="9026"/>
      </w:tabs>
      <w:spacing w:after="0" w:line="240" w:lineRule="auto"/>
    </w:pPr>
    <w:rPr>
      <w:szCs w:val="20"/>
    </w:rPr>
  </w:style>
  <w:style w:type="character" w:styleId="FootnoteReference">
    <w:name w:val="footnote reference"/>
    <w:basedOn w:val="DefaultParagraphFont"/>
    <w:semiHidden/>
    <w:unhideWhenUsed/>
    <w:qFormat/>
    <w:rPr>
      <w:vertAlign w:val="superscript"/>
    </w:rPr>
  </w:style>
  <w:style w:type="paragraph" w:styleId="FootnoteText">
    <w:name w:val="footnote text"/>
    <w:basedOn w:val="Normal"/>
    <w:semiHidden/>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513"/>
        <w:tab w:val="right" w:pos="9026"/>
      </w:tabs>
      <w:spacing w:after="0" w:line="240" w:lineRule="auto"/>
    </w:pPr>
    <w:rPr>
      <w:szCs w:val="20"/>
    </w:rPr>
  </w:style>
  <w:style w:type="character" w:styleId="Hyperlink">
    <w:name w:val="Hyperlink"/>
    <w:uiPriority w:val="99"/>
    <w:unhideWhenUsed/>
    <w:qFormat/>
    <w:rPr>
      <w:color w:val="0000FF"/>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szCs w:val="24"/>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rPr>
      <w:rFonts w:ascii="Bookman Old Style" w:eastAsia="Calibri" w:hAnsi="Bookman Old Style" w:cs="Times New Roman"/>
      <w:sz w:val="24"/>
      <w:szCs w:val="20"/>
    </w:rPr>
  </w:style>
  <w:style w:type="character" w:customStyle="1" w:styleId="FooterChar">
    <w:name w:val="Footer Char"/>
    <w:basedOn w:val="DefaultParagraphFont"/>
    <w:link w:val="Footer"/>
    <w:uiPriority w:val="99"/>
    <w:rPr>
      <w:rFonts w:ascii="Bookman Old Style" w:eastAsia="Calibri" w:hAnsi="Bookman Old Style" w:cs="Times New Roman"/>
      <w:sz w:val="24"/>
      <w:szCs w:val="20"/>
    </w:rPr>
  </w:style>
  <w:style w:type="paragraph" w:customStyle="1" w:styleId="Headerdepan">
    <w:name w:val="Header depan"/>
    <w:basedOn w:val="Header"/>
    <w:link w:val="HeaderdepanChar"/>
    <w:autoRedefine/>
    <w:qFormat/>
    <w:pPr>
      <w:jc w:val="center"/>
    </w:pPr>
    <w:rPr>
      <w:rFonts w:ascii="Garamond" w:hAnsi="Garamond"/>
      <w:b/>
      <w:bCs/>
      <w:sz w:val="32"/>
      <w:szCs w:val="32"/>
      <w:lang w:val="en-US"/>
    </w:rPr>
  </w:style>
  <w:style w:type="character" w:customStyle="1" w:styleId="HeaderdepanChar">
    <w:name w:val="Header depan Char"/>
    <w:link w:val="Headerdepan"/>
    <w:qFormat/>
    <w:rPr>
      <w:rFonts w:ascii="Garamond" w:eastAsia="Calibri" w:hAnsi="Garamond" w:cs="Times New Roman"/>
      <w:b/>
      <w:bCs/>
      <w:sz w:val="32"/>
      <w:szCs w:val="32"/>
      <w:lang w:val="en-US"/>
    </w:rPr>
  </w:style>
  <w:style w:type="paragraph" w:customStyle="1" w:styleId="Judul">
    <w:name w:val="Judul"/>
    <w:link w:val="JudulChar"/>
    <w:autoRedefine/>
    <w:qFormat/>
    <w:pPr>
      <w:spacing w:before="100" w:beforeAutospacing="1" w:after="100" w:afterAutospacing="1"/>
    </w:pPr>
    <w:rPr>
      <w:rFonts w:ascii="Garamond" w:eastAsia="Times New Roman" w:hAnsi="Garamond"/>
      <w:b/>
      <w:bCs/>
      <w:kern w:val="32"/>
      <w:sz w:val="28"/>
      <w:szCs w:val="32"/>
      <w:lang w:val="en-US" w:eastAsia="en-US"/>
    </w:rPr>
  </w:style>
  <w:style w:type="paragraph" w:customStyle="1" w:styleId="Author">
    <w:name w:val="Author"/>
    <w:link w:val="AuthorChar"/>
    <w:autoRedefine/>
    <w:qFormat/>
    <w:pPr>
      <w:spacing w:after="120"/>
    </w:pPr>
    <w:rPr>
      <w:rFonts w:ascii="Garamond" w:eastAsia="Times New Roman" w:hAnsi="Garamond"/>
      <w:b/>
      <w:bCs/>
      <w:kern w:val="32"/>
      <w:sz w:val="22"/>
      <w:szCs w:val="32"/>
      <w:lang w:val="en-US" w:eastAsia="id-ID"/>
    </w:rPr>
  </w:style>
  <w:style w:type="character" w:customStyle="1" w:styleId="JudulChar">
    <w:name w:val="Judul Char"/>
    <w:link w:val="Judul"/>
    <w:qFormat/>
    <w:rPr>
      <w:rFonts w:ascii="Garamond" w:eastAsia="Times New Roman" w:hAnsi="Garamond" w:cs="Times New Roman"/>
      <w:b/>
      <w:bCs/>
      <w:kern w:val="32"/>
      <w:sz w:val="28"/>
      <w:szCs w:val="32"/>
      <w:lang w:val="en-US"/>
    </w:rPr>
  </w:style>
  <w:style w:type="paragraph" w:customStyle="1" w:styleId="Affiliasi">
    <w:name w:val="Affiliasi"/>
    <w:link w:val="AffiliasiChar"/>
    <w:autoRedefine/>
    <w:qFormat/>
    <w:rPr>
      <w:rFonts w:ascii="Garamond" w:eastAsia="Times New Roman" w:hAnsi="Garamond"/>
      <w:bCs/>
      <w:kern w:val="32"/>
      <w:szCs w:val="32"/>
      <w:lang w:val="en-US" w:eastAsia="id-ID"/>
    </w:rPr>
  </w:style>
  <w:style w:type="character" w:customStyle="1" w:styleId="AuthorChar">
    <w:name w:val="Author Char"/>
    <w:link w:val="Author"/>
    <w:qFormat/>
    <w:rPr>
      <w:rFonts w:ascii="Garamond" w:eastAsia="Times New Roman" w:hAnsi="Garamond" w:cs="Times New Roman"/>
      <w:b/>
      <w:bCs/>
      <w:kern w:val="32"/>
      <w:szCs w:val="32"/>
      <w:lang w:val="en-US" w:eastAsia="id-ID"/>
    </w:rPr>
  </w:style>
  <w:style w:type="paragraph" w:customStyle="1" w:styleId="Abstrakabstract">
    <w:name w:val="Abstrak (abstract)"/>
    <w:link w:val="AbstrakabstractChar"/>
    <w:autoRedefine/>
    <w:qFormat/>
    <w:pPr>
      <w:spacing w:after="60"/>
      <w:jc w:val="both"/>
    </w:pPr>
    <w:rPr>
      <w:rFonts w:ascii="Garamond" w:eastAsia="Times New Roman" w:hAnsi="Garamond"/>
      <w:bCs/>
      <w:kern w:val="32"/>
      <w:szCs w:val="32"/>
      <w:lang w:val="en-US" w:eastAsia="id-ID"/>
    </w:rPr>
  </w:style>
  <w:style w:type="character" w:customStyle="1" w:styleId="AffiliasiChar">
    <w:name w:val="Affiliasi Char"/>
    <w:link w:val="Affiliasi"/>
    <w:qFormat/>
    <w:rPr>
      <w:rFonts w:ascii="Garamond" w:eastAsia="Times New Roman" w:hAnsi="Garamond" w:cs="Times New Roman"/>
      <w:bCs/>
      <w:kern w:val="32"/>
      <w:sz w:val="20"/>
      <w:szCs w:val="32"/>
      <w:lang w:val="en-US" w:eastAsia="id-ID"/>
    </w:rPr>
  </w:style>
  <w:style w:type="paragraph" w:customStyle="1" w:styleId="katakunci">
    <w:name w:val="kata kunci"/>
    <w:link w:val="katakunciChar"/>
    <w:autoRedefine/>
    <w:qFormat/>
    <w:rPr>
      <w:rFonts w:ascii="Garamond" w:eastAsia="Times New Roman" w:hAnsi="Garamond"/>
      <w:b/>
      <w:kern w:val="32"/>
      <w:szCs w:val="32"/>
      <w:lang w:val="en-US" w:eastAsia="id-ID"/>
    </w:rPr>
  </w:style>
  <w:style w:type="character" w:customStyle="1" w:styleId="AbstrakabstractChar">
    <w:name w:val="Abstrak (abstract) Char"/>
    <w:link w:val="Abstrakabstract"/>
    <w:qFormat/>
    <w:rPr>
      <w:rFonts w:ascii="Garamond" w:eastAsia="Times New Roman" w:hAnsi="Garamond" w:cs="Times New Roman"/>
      <w:bCs/>
      <w:kern w:val="32"/>
      <w:sz w:val="20"/>
      <w:szCs w:val="32"/>
      <w:lang w:val="en-US" w:eastAsia="id-ID"/>
    </w:rPr>
  </w:style>
  <w:style w:type="paragraph" w:customStyle="1" w:styleId="sejarahartikel">
    <w:name w:val="sejarah artikel"/>
    <w:link w:val="sejarahartikelChar"/>
    <w:autoRedefine/>
    <w:qFormat/>
    <w:rPr>
      <w:rFonts w:ascii="Garamond" w:eastAsia="Times New Roman" w:hAnsi="Garamond"/>
      <w:bCs/>
      <w:kern w:val="32"/>
      <w:szCs w:val="32"/>
      <w:lang w:val="en-US" w:eastAsia="id-ID"/>
    </w:rPr>
  </w:style>
  <w:style w:type="character" w:customStyle="1" w:styleId="katakunciChar">
    <w:name w:val="kata kunci Char"/>
    <w:link w:val="katakunci"/>
    <w:qFormat/>
    <w:rPr>
      <w:rFonts w:ascii="Garamond" w:eastAsia="Times New Roman" w:hAnsi="Garamond" w:cs="Times New Roman"/>
      <w:b/>
      <w:kern w:val="32"/>
      <w:sz w:val="20"/>
      <w:szCs w:val="32"/>
      <w:lang w:val="en-US" w:eastAsia="id-ID"/>
    </w:rPr>
  </w:style>
  <w:style w:type="paragraph" w:customStyle="1" w:styleId="Sistematika">
    <w:name w:val="Sistematika"/>
    <w:link w:val="SistematikaChar"/>
    <w:qFormat/>
    <w:pPr>
      <w:spacing w:before="100" w:beforeAutospacing="1" w:after="120"/>
    </w:pPr>
    <w:rPr>
      <w:rFonts w:ascii="Garamond" w:eastAsia="Times New Roman" w:hAnsi="Garamond"/>
      <w:b/>
      <w:bCs/>
      <w:kern w:val="32"/>
      <w:sz w:val="22"/>
      <w:szCs w:val="32"/>
      <w:lang w:val="id-ID" w:eastAsia="id-ID"/>
    </w:rPr>
  </w:style>
  <w:style w:type="character" w:customStyle="1" w:styleId="sejarahartikelChar">
    <w:name w:val="sejarah artikel Char"/>
    <w:link w:val="sejarahartikel"/>
    <w:qFormat/>
    <w:rPr>
      <w:rFonts w:ascii="Garamond" w:eastAsia="Times New Roman" w:hAnsi="Garamond" w:cs="Times New Roman"/>
      <w:bCs/>
      <w:kern w:val="32"/>
      <w:sz w:val="20"/>
      <w:szCs w:val="32"/>
      <w:lang w:val="en-US" w:eastAsia="id-ID"/>
    </w:rPr>
  </w:style>
  <w:style w:type="paragraph" w:customStyle="1" w:styleId="Paragraph">
    <w:name w:val="Paragraph"/>
    <w:link w:val="ParagraphChar"/>
    <w:autoRedefine/>
    <w:qFormat/>
    <w:pPr>
      <w:ind w:firstLine="425"/>
      <w:jc w:val="both"/>
    </w:pPr>
    <w:rPr>
      <w:rFonts w:ascii="Garamond" w:eastAsia="Times New Roman" w:hAnsi="Garamond"/>
      <w:bCs/>
      <w:kern w:val="32"/>
      <w:sz w:val="22"/>
      <w:szCs w:val="22"/>
      <w:lang w:val="en-US" w:eastAsia="id-ID"/>
    </w:rPr>
  </w:style>
  <w:style w:type="character" w:customStyle="1" w:styleId="SistematikaChar">
    <w:name w:val="Sistematika Char"/>
    <w:link w:val="Sistematika"/>
    <w:qFormat/>
    <w:rPr>
      <w:rFonts w:ascii="Garamond" w:eastAsia="Times New Roman" w:hAnsi="Garamond" w:cs="Times New Roman"/>
      <w:b/>
      <w:bCs/>
      <w:kern w:val="32"/>
      <w:szCs w:val="32"/>
      <w:lang w:eastAsia="id-ID"/>
    </w:rPr>
  </w:style>
  <w:style w:type="paragraph" w:customStyle="1" w:styleId="FigureCaption">
    <w:name w:val="Figure Caption"/>
    <w:link w:val="FigureCaptionChar"/>
    <w:autoRedefine/>
    <w:qFormat/>
    <w:pPr>
      <w:jc w:val="center"/>
    </w:pPr>
    <w:rPr>
      <w:rFonts w:ascii="Garamond" w:eastAsia="Times New Roman" w:hAnsi="Garamond"/>
      <w:b/>
      <w:kern w:val="32"/>
      <w:szCs w:val="22"/>
      <w:lang w:val="sv-SE" w:eastAsia="en-US"/>
    </w:rPr>
  </w:style>
  <w:style w:type="character" w:customStyle="1" w:styleId="ParagraphChar">
    <w:name w:val="Paragraph Char"/>
    <w:link w:val="Paragraph"/>
    <w:rPr>
      <w:rFonts w:ascii="Garamond" w:eastAsia="Times New Roman" w:hAnsi="Garamond" w:cs="Times New Roman"/>
      <w:bCs/>
      <w:kern w:val="32"/>
      <w:lang w:val="en-US" w:eastAsia="id-ID"/>
    </w:rPr>
  </w:style>
  <w:style w:type="paragraph" w:customStyle="1" w:styleId="TableCaption">
    <w:name w:val="Table Caption"/>
    <w:link w:val="TableCaptionChar"/>
    <w:autoRedefine/>
    <w:qFormat/>
    <w:pPr>
      <w:spacing w:before="120"/>
      <w:ind w:left="720" w:hanging="720"/>
      <w:jc w:val="center"/>
    </w:pPr>
    <w:rPr>
      <w:rFonts w:ascii="Garamond" w:eastAsia="Times New Roman" w:hAnsi="Garamond"/>
      <w:bCs/>
      <w:kern w:val="32"/>
      <w:szCs w:val="22"/>
      <w:lang w:val="en-US" w:eastAsia="en-US"/>
    </w:rPr>
  </w:style>
  <w:style w:type="character" w:customStyle="1" w:styleId="FigureCaptionChar">
    <w:name w:val="Figure Caption Char"/>
    <w:link w:val="FigureCaption"/>
    <w:qFormat/>
    <w:rPr>
      <w:rFonts w:ascii="Garamond" w:eastAsia="Times New Roman" w:hAnsi="Garamond" w:cs="Times New Roman"/>
      <w:b/>
      <w:kern w:val="32"/>
      <w:sz w:val="20"/>
      <w:lang w:val="sv-SE"/>
    </w:rPr>
  </w:style>
  <w:style w:type="paragraph" w:customStyle="1" w:styleId="kepalatabel">
    <w:name w:val="kepala tabel"/>
    <w:link w:val="kepalatabelChar"/>
    <w:autoRedefine/>
    <w:qFormat/>
    <w:pPr>
      <w:jc w:val="center"/>
    </w:pPr>
    <w:rPr>
      <w:rFonts w:ascii="Garamond" w:eastAsia="Times New Roman" w:hAnsi="Garamond"/>
      <w:b/>
      <w:bCs/>
      <w:kern w:val="32"/>
      <w:sz w:val="22"/>
      <w:szCs w:val="32"/>
      <w:lang w:val="en-US" w:eastAsia="id-ID"/>
    </w:rPr>
  </w:style>
  <w:style w:type="character" w:customStyle="1" w:styleId="TableCaptionChar">
    <w:name w:val="Table Caption Char"/>
    <w:link w:val="TableCaption"/>
    <w:rPr>
      <w:rFonts w:ascii="Garamond" w:eastAsia="Times New Roman" w:hAnsi="Garamond" w:cs="Times New Roman"/>
      <w:bCs/>
      <w:kern w:val="32"/>
      <w:sz w:val="20"/>
      <w:lang w:val="en-US"/>
    </w:rPr>
  </w:style>
  <w:style w:type="paragraph" w:customStyle="1" w:styleId="subkepalatabel">
    <w:name w:val="sub kepala tabel"/>
    <w:link w:val="subkepalatabelChar"/>
    <w:qFormat/>
    <w:pPr>
      <w:jc w:val="center"/>
    </w:pPr>
    <w:rPr>
      <w:rFonts w:eastAsia="Times New Roman"/>
      <w:b/>
      <w:bCs/>
      <w:kern w:val="32"/>
      <w:szCs w:val="32"/>
      <w:lang w:val="en-US" w:eastAsia="id-ID"/>
    </w:rPr>
  </w:style>
  <w:style w:type="character" w:customStyle="1" w:styleId="kepalatabelChar">
    <w:name w:val="kepala tabel Char"/>
    <w:link w:val="kepalatabel"/>
    <w:qFormat/>
    <w:rPr>
      <w:rFonts w:ascii="Garamond" w:eastAsia="Times New Roman" w:hAnsi="Garamond" w:cs="Times New Roman"/>
      <w:b/>
      <w:bCs/>
      <w:kern w:val="32"/>
      <w:szCs w:val="32"/>
      <w:lang w:val="en-US" w:eastAsia="id-ID"/>
    </w:rPr>
  </w:style>
  <w:style w:type="paragraph" w:customStyle="1" w:styleId="datatabel">
    <w:name w:val="data tabel"/>
    <w:link w:val="datatabelChar"/>
    <w:qFormat/>
    <w:pPr>
      <w:jc w:val="center"/>
    </w:pPr>
    <w:rPr>
      <w:rFonts w:ascii="Garamond" w:eastAsia="Times New Roman" w:hAnsi="Garamond"/>
      <w:bCs/>
      <w:kern w:val="32"/>
      <w:sz w:val="18"/>
      <w:szCs w:val="32"/>
      <w:lang w:val="id-ID" w:eastAsia="id-ID"/>
    </w:rPr>
  </w:style>
  <w:style w:type="character" w:customStyle="1" w:styleId="subkepalatabelChar">
    <w:name w:val="sub kepala tabel Char"/>
    <w:link w:val="subkepalatabel"/>
    <w:rPr>
      <w:rFonts w:ascii="Times New Roman" w:eastAsia="Times New Roman" w:hAnsi="Times New Roman" w:cs="Times New Roman"/>
      <w:b/>
      <w:bCs/>
      <w:kern w:val="32"/>
      <w:sz w:val="20"/>
      <w:szCs w:val="32"/>
      <w:lang w:val="en-US" w:eastAsia="id-ID"/>
    </w:rPr>
  </w:style>
  <w:style w:type="paragraph" w:customStyle="1" w:styleId="catatantabel">
    <w:name w:val="catatan tabel"/>
    <w:link w:val="catatantabelChar"/>
    <w:qFormat/>
    <w:rPr>
      <w:rFonts w:ascii="Centaur" w:eastAsia="Times New Roman" w:hAnsi="Centaur"/>
      <w:bCs/>
      <w:kern w:val="32"/>
      <w:sz w:val="16"/>
      <w:szCs w:val="32"/>
      <w:lang w:val="id-ID" w:eastAsia="id-ID"/>
    </w:rPr>
  </w:style>
  <w:style w:type="character" w:customStyle="1" w:styleId="datatabelChar">
    <w:name w:val="data tabel Char"/>
    <w:link w:val="datatabel"/>
    <w:qFormat/>
    <w:rPr>
      <w:rFonts w:ascii="Garamond" w:eastAsia="Times New Roman" w:hAnsi="Garamond" w:cs="Times New Roman"/>
      <w:bCs/>
      <w:kern w:val="32"/>
      <w:sz w:val="18"/>
      <w:szCs w:val="32"/>
      <w:lang w:eastAsia="id-ID"/>
    </w:rPr>
  </w:style>
  <w:style w:type="paragraph" w:customStyle="1" w:styleId="referensi">
    <w:name w:val="referensi"/>
    <w:link w:val="referensiChar"/>
    <w:autoRedefine/>
    <w:qFormat/>
    <w:pPr>
      <w:spacing w:after="60"/>
      <w:ind w:left="720" w:hanging="720"/>
      <w:jc w:val="both"/>
    </w:pPr>
    <w:rPr>
      <w:rFonts w:ascii="Garamond" w:eastAsia="Times New Roman" w:hAnsi="Garamond"/>
      <w:bCs/>
      <w:kern w:val="32"/>
      <w:sz w:val="22"/>
      <w:szCs w:val="32"/>
      <w:lang w:val="en-US" w:eastAsia="id-ID"/>
    </w:rPr>
  </w:style>
  <w:style w:type="character" w:customStyle="1" w:styleId="catatantabelChar">
    <w:name w:val="catatan tabel Char"/>
    <w:link w:val="catatantabel"/>
    <w:rPr>
      <w:rFonts w:ascii="Centaur" w:eastAsia="Times New Roman" w:hAnsi="Centaur" w:cs="Times New Roman"/>
      <w:bCs/>
      <w:kern w:val="32"/>
      <w:sz w:val="16"/>
      <w:szCs w:val="32"/>
      <w:lang w:eastAsia="id-ID"/>
    </w:rPr>
  </w:style>
  <w:style w:type="character" w:customStyle="1" w:styleId="BodyTextChar">
    <w:name w:val="Body Text Char"/>
    <w:basedOn w:val="DefaultParagraphFont"/>
    <w:link w:val="BodyText"/>
    <w:uiPriority w:val="99"/>
    <w:qFormat/>
    <w:rPr>
      <w:rFonts w:ascii="Times New Roman" w:eastAsia="MS Mincho" w:hAnsi="Times New Roman" w:cs="Times New Roman"/>
      <w:spacing w:val="-1"/>
      <w:sz w:val="20"/>
      <w:szCs w:val="20"/>
      <w:lang w:val="en-US"/>
    </w:rPr>
  </w:style>
  <w:style w:type="character" w:customStyle="1" w:styleId="referensiChar">
    <w:name w:val="referensi Char"/>
    <w:link w:val="referensi"/>
    <w:rPr>
      <w:rFonts w:ascii="Garamond" w:eastAsia="Times New Roman" w:hAnsi="Garamond" w:cs="Times New Roman"/>
      <w:bCs/>
      <w:kern w:val="32"/>
      <w:szCs w:val="32"/>
      <w:lang w:val="en-US" w:eastAsia="id-ID"/>
    </w:rPr>
  </w:style>
  <w:style w:type="character" w:customStyle="1" w:styleId="CommentTextChar">
    <w:name w:val="Comment Text Char"/>
    <w:basedOn w:val="DefaultParagraphFont"/>
    <w:link w:val="CommentText"/>
    <w:uiPriority w:val="99"/>
    <w:qFormat/>
    <w:rPr>
      <w:rFonts w:ascii="Bookman Old Style" w:eastAsia="Calibri" w:hAnsi="Bookman Old Style" w:cs="Times New Roman"/>
      <w:sz w:val="20"/>
      <w:szCs w:val="20"/>
    </w:rPr>
  </w:style>
  <w:style w:type="character" w:customStyle="1" w:styleId="CommentSubjectChar">
    <w:name w:val="Comment Subject Char"/>
    <w:basedOn w:val="CommentTextChar"/>
    <w:link w:val="CommentSubject"/>
    <w:uiPriority w:val="99"/>
    <w:semiHidden/>
    <w:qFormat/>
    <w:rPr>
      <w:rFonts w:ascii="Bookman Old Style" w:eastAsia="Calibri" w:hAnsi="Bookman Old Style" w:cs="Times New Roman"/>
      <w:b/>
      <w:bCs/>
      <w:sz w:val="20"/>
      <w:szCs w:val="20"/>
    </w:rPr>
  </w:style>
  <w:style w:type="character" w:customStyle="1" w:styleId="BalloonTextChar">
    <w:name w:val="Balloon Text Char"/>
    <w:basedOn w:val="DefaultParagraphFont"/>
    <w:link w:val="BalloonText"/>
    <w:uiPriority w:val="99"/>
    <w:semiHidden/>
    <w:qFormat/>
    <w:rPr>
      <w:rFonts w:ascii="Segoe UI" w:eastAsia="Calibri" w:hAnsi="Segoe UI" w:cs="Segoe UI"/>
      <w:sz w:val="18"/>
      <w:szCs w:val="18"/>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qFormat/>
    <w:rPr>
      <w:rFonts w:ascii="Garamond" w:eastAsiaTheme="majorEastAsia" w:hAnsi="Garamond" w:cstheme="majorBidi"/>
      <w:b/>
      <w:color w:val="000000" w:themeColor="text1"/>
      <w:sz w:val="24"/>
      <w:szCs w:val="32"/>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
    <w:name w:val="email"/>
    <w:qFormat/>
    <w:pPr>
      <w:spacing w:after="160" w:line="259" w:lineRule="auto"/>
    </w:pPr>
    <w:rPr>
      <w:rFonts w:ascii="Garamond" w:eastAsia="Times New Roman" w:hAnsi="Garamond"/>
      <w:bCs/>
      <w:kern w:val="32"/>
      <w:szCs w:val="32"/>
      <w:lang w:val="it-IT" w:eastAsia="id-ID"/>
    </w:rPr>
  </w:style>
  <w:style w:type="paragraph" w:customStyle="1" w:styleId="JudulAbstrak">
    <w:name w:val="Judul Abstrak"/>
    <w:autoRedefine/>
    <w:qFormat/>
    <w:pPr>
      <w:spacing w:after="160" w:line="259" w:lineRule="auto"/>
    </w:pPr>
    <w:rPr>
      <w:rFonts w:ascii="Garamond" w:eastAsia="Times New Roman" w:hAnsi="Garamond"/>
      <w:b/>
      <w:bCs/>
      <w:kern w:val="32"/>
      <w:szCs w:val="32"/>
      <w:lang w:val="en-US" w:eastAsia="en-US"/>
    </w:rPr>
  </w:style>
  <w:style w:type="paragraph" w:customStyle="1" w:styleId="JudulInformasiArtikel">
    <w:name w:val="Judul Informasi Artikel"/>
    <w:autoRedefine/>
    <w:qFormat/>
    <w:rPr>
      <w:rFonts w:ascii="Garamond" w:eastAsia="Times New Roman" w:hAnsi="Garamond"/>
      <w:b/>
      <w:bCs/>
      <w:kern w:val="32"/>
      <w:szCs w:val="32"/>
      <w:lang w:val="en-US" w:eastAsia="en-US"/>
    </w:rPr>
  </w:style>
  <w:style w:type="paragraph" w:customStyle="1" w:styleId="InformasiArikel">
    <w:name w:val="Informasi Arikel"/>
    <w:autoRedefine/>
    <w:qFormat/>
    <w:pPr>
      <w:spacing w:after="160" w:line="259" w:lineRule="auto"/>
    </w:pPr>
    <w:rPr>
      <w:rFonts w:ascii="Garamond" w:eastAsia="Times New Roman" w:hAnsi="Garamond"/>
      <w:b/>
      <w:bCs/>
      <w:kern w:val="32"/>
      <w:szCs w:val="32"/>
      <w:lang w:val="fi-FI" w:eastAsia="en-US"/>
    </w:rPr>
  </w:style>
  <w:style w:type="paragraph" w:customStyle="1" w:styleId="Keywords">
    <w:name w:val="Keywords"/>
    <w:next w:val="katakunci"/>
    <w:autoRedefine/>
    <w:qFormat/>
    <w:rPr>
      <w:rFonts w:ascii="Garamond" w:eastAsia="Times New Roman" w:hAnsi="Garamond"/>
      <w:bCs/>
      <w:i/>
      <w:iCs/>
      <w:kern w:val="32"/>
      <w:szCs w:val="32"/>
      <w:lang w:val="en-US" w:eastAsia="id-ID"/>
    </w:rPr>
  </w:style>
  <w:style w:type="paragraph" w:customStyle="1" w:styleId="Copyright">
    <w:name w:val="Copyright"/>
    <w:basedOn w:val="Normal"/>
    <w:autoRedefine/>
    <w:qFormat/>
    <w:pPr>
      <w:jc w:val="center"/>
    </w:pPr>
    <w:rPr>
      <w:rFonts w:ascii="Garamond" w:hAnsi="Garamond"/>
      <w:b/>
      <w:i/>
      <w:sz w:val="22"/>
    </w:rPr>
  </w:style>
  <w:style w:type="character" w:customStyle="1" w:styleId="hps">
    <w:name w:val="hps"/>
    <w:basedOn w:val="DefaultParagraphFont"/>
    <w:qFormat/>
  </w:style>
  <w:style w:type="paragraph" w:customStyle="1" w:styleId="H-1">
    <w:name w:val="H-1"/>
    <w:basedOn w:val="Normal"/>
    <w:qFormat/>
    <w:pPr>
      <w:widowControl w:val="0"/>
      <w:tabs>
        <w:tab w:val="left" w:pos="1890"/>
        <w:tab w:val="left" w:pos="2160"/>
      </w:tabs>
      <w:autoSpaceDE w:val="0"/>
      <w:autoSpaceDN w:val="0"/>
      <w:adjustRightInd w:val="0"/>
      <w:spacing w:after="0" w:line="240" w:lineRule="auto"/>
      <w:ind w:left="2160" w:hanging="2160"/>
      <w:jc w:val="both"/>
    </w:pPr>
    <w:rPr>
      <w:rFonts w:ascii="Arial" w:eastAsia="Times New Roman" w:hAnsi="Arial" w:cs="Arial"/>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artini@unj.ac.id"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mpbi.org/files/peraturan/uu-28-2002_bangunan-gedung.pdf" TargetMode="External"/><Relationship Id="rId2" Type="http://schemas.openxmlformats.org/officeDocument/2006/relationships/numbering" Target="numbering.xml"/><Relationship Id="rId16" Type="http://schemas.openxmlformats.org/officeDocument/2006/relationships/hyperlink" Target="http://www.mpbi.org/files/peraturan/pp-36-2005_pelaksanaan-uu-28-2002-bangunan-gedung.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mpbi.org/files/peraturan/uu-28-2002_bangunan-gedung.pdf"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3911</Words>
  <Characters>22297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dc:creator>
  <cp:lastModifiedBy>Abdul Rahman Hamid</cp:lastModifiedBy>
  <cp:revision>2</cp:revision>
  <dcterms:created xsi:type="dcterms:W3CDTF">2026-05-08T02:46:00Z</dcterms:created>
  <dcterms:modified xsi:type="dcterms:W3CDTF">2026-05-08T02:46:00Z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9F779996C8244A8083430681A93F0CAC_13</vt:lpwstr>
  </property>
</Properties>
</file>