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2EBE8" w14:textId="77777777" w:rsidR="0067341E" w:rsidRDefault="00120FD9">
      <w:pPr>
        <w:pStyle w:val="Judul1"/>
        <w:jc w:val="center"/>
        <w:rPr>
          <w:sz w:val="24"/>
          <w:szCs w:val="24"/>
        </w:rPr>
      </w:pPr>
      <w:r>
        <w:rPr>
          <w:sz w:val="24"/>
          <w:szCs w:val="24"/>
        </w:rPr>
        <w:t>Rekonstruksi Model Pelaksanaan Pidana Kerja Sosial Berdasarkan Undang-Undang Nomor 1 Tahun 2023 tentang Kitab Undang-Undang Hukum Pidana</w:t>
      </w:r>
    </w:p>
    <w:p w14:paraId="5C50DA47" w14:textId="77777777" w:rsidR="0067341E" w:rsidRDefault="00120FD9">
      <w:pPr>
        <w:pStyle w:val="Author"/>
        <w:rPr>
          <w:vertAlign w:val="superscript"/>
          <w:lang w:val="fi-FI"/>
        </w:rPr>
      </w:pPr>
      <w:r>
        <w:rPr>
          <w:lang w:val="fi-FI"/>
        </w:rPr>
        <w:t>Putri Balqis Nuril Hakim</w:t>
      </w:r>
      <w:r>
        <w:rPr>
          <w:vertAlign w:val="superscript"/>
          <w:lang w:val="fi-FI"/>
        </w:rPr>
        <w:t>1,*</w:t>
      </w:r>
      <w:r>
        <w:rPr>
          <w:lang w:val="fi-FI"/>
        </w:rPr>
        <w:t>, Firstia Qhaska Aqila</w:t>
      </w:r>
      <w:r>
        <w:rPr>
          <w:vertAlign w:val="superscript"/>
          <w:lang w:val="fi-FI"/>
        </w:rPr>
        <w:t>2</w:t>
      </w:r>
      <w:r>
        <w:rPr>
          <w:lang w:val="fi-FI"/>
        </w:rPr>
        <w:t>, Felisha Chandra</w:t>
      </w:r>
      <w:r>
        <w:rPr>
          <w:vertAlign w:val="superscript"/>
          <w:lang w:val="fi-FI"/>
        </w:rPr>
        <w:t>3</w:t>
      </w:r>
      <w:r>
        <w:rPr>
          <w:lang w:val="fi-FI"/>
        </w:rPr>
        <w:t>, Rizka Laelya Feliza</w:t>
      </w:r>
      <w:r>
        <w:rPr>
          <w:vertAlign w:val="superscript"/>
          <w:lang w:val="fi-FI"/>
        </w:rPr>
        <w:t>4</w:t>
      </w:r>
      <w:r>
        <w:rPr>
          <w:lang w:val="fi-FI"/>
        </w:rPr>
        <w:t>, Muhammad Adzkiya Azam</w:t>
      </w:r>
      <w:r>
        <w:rPr>
          <w:vertAlign w:val="superscript"/>
          <w:lang w:val="fi-FI"/>
        </w:rPr>
        <w:t>3</w:t>
      </w:r>
    </w:p>
    <w:p w14:paraId="24D2BC12" w14:textId="77777777" w:rsidR="0067341E" w:rsidRDefault="00120FD9">
      <w:pPr>
        <w:pStyle w:val="Affiliasi"/>
        <w:rPr>
          <w:lang w:val="fi-FI"/>
        </w:rPr>
      </w:pPr>
      <w:r>
        <w:rPr>
          <w:vertAlign w:val="superscript"/>
          <w:lang w:val="fi-FI"/>
        </w:rPr>
        <w:t>1</w:t>
      </w:r>
      <w:r>
        <w:rPr>
          <w:vertAlign w:val="superscript"/>
        </w:rPr>
        <w:t xml:space="preserve"> </w:t>
      </w:r>
      <w:r>
        <w:rPr>
          <w:lang w:val="fi-FI"/>
        </w:rPr>
        <w:t>Universitas Negeri Semarang, Sekaran, Gunung Pati, Semarang City, Central Java 50229, Indonesia</w:t>
      </w:r>
    </w:p>
    <w:p w14:paraId="4385D60E" w14:textId="77777777" w:rsidR="0067341E" w:rsidRDefault="00120FD9">
      <w:pPr>
        <w:pStyle w:val="Affiliasi"/>
      </w:pPr>
      <w:r>
        <w:rPr>
          <w:vertAlign w:val="superscript"/>
          <w:lang w:val="zh-CN"/>
        </w:rPr>
        <w:t>2</w:t>
      </w:r>
      <w:r>
        <w:rPr>
          <w:lang w:val="zh-CN"/>
        </w:rPr>
        <w:t xml:space="preserve"> Universitas Negeri Semarang, Sekaran, Gunung Pati, Semarang City, Central Java 50229, Indonesia</w:t>
      </w:r>
    </w:p>
    <w:p w14:paraId="0071B6EC" w14:textId="77777777" w:rsidR="0067341E" w:rsidRDefault="00120FD9">
      <w:pPr>
        <w:pStyle w:val="Affiliasi"/>
      </w:pPr>
      <w:r>
        <w:rPr>
          <w:vertAlign w:val="superscript"/>
        </w:rPr>
        <w:t>3</w:t>
      </w:r>
      <w:r>
        <w:rPr>
          <w:lang w:val="zh-CN"/>
        </w:rPr>
        <w:t xml:space="preserve"> Universitas Negeri Semarang, Sekaran, Gunung Pati, Semarang City, Central Java 50229, Indonesia</w:t>
      </w:r>
    </w:p>
    <w:p w14:paraId="25833B6D" w14:textId="77777777" w:rsidR="0067341E" w:rsidRDefault="00120FD9">
      <w:pPr>
        <w:pStyle w:val="Affiliasi"/>
      </w:pPr>
      <w:r>
        <w:rPr>
          <w:vertAlign w:val="superscript"/>
        </w:rPr>
        <w:t>4</w:t>
      </w:r>
      <w:r>
        <w:rPr>
          <w:lang w:val="zh-CN"/>
        </w:rPr>
        <w:t xml:space="preserve"> Universitas Negeri Semarang, Sekaran, Gunung Pati, Semarang City, Central Java 50229, Indonesia</w:t>
      </w:r>
    </w:p>
    <w:p w14:paraId="368B8736" w14:textId="77777777" w:rsidR="0067341E" w:rsidRDefault="00120FD9">
      <w:pPr>
        <w:pStyle w:val="Affiliasi"/>
      </w:pPr>
      <w:r>
        <w:rPr>
          <w:vertAlign w:val="superscript"/>
        </w:rPr>
        <w:t>5</w:t>
      </w:r>
      <w:r>
        <w:rPr>
          <w:lang w:val="zh-CN"/>
        </w:rPr>
        <w:t xml:space="preserve"> Universitas Negeri Semarang, Sekaran, Gunung Pati, Semarang City, Central Java 50229, Indonesia</w:t>
      </w:r>
    </w:p>
    <w:p w14:paraId="21CEF3F4" w14:textId="77777777" w:rsidR="0067341E" w:rsidRDefault="0067341E">
      <w:pPr>
        <w:pStyle w:val="Affiliasi"/>
      </w:pPr>
    </w:p>
    <w:p w14:paraId="1B71A4E5" w14:textId="77777777" w:rsidR="0067341E" w:rsidRDefault="004D3351">
      <w:pPr>
        <w:pStyle w:val="email"/>
        <w:rPr>
          <w:lang w:val="en-US"/>
        </w:rPr>
      </w:pPr>
      <w:hyperlink r:id="rId9" w:history="1">
        <w:r w:rsidR="00120FD9">
          <w:rPr>
            <w:rStyle w:val="Hyperlink"/>
            <w:lang w:val="zh-CN"/>
          </w:rPr>
          <w:t>*</w:t>
        </w:r>
        <w:r w:rsidR="00120FD9">
          <w:rPr>
            <w:rStyle w:val="Hyperlink"/>
            <w:lang w:val="en-US"/>
          </w:rPr>
          <w:t>putribalqisnh@students.unnes.ac.id</w:t>
        </w:r>
      </w:hyperlink>
      <w:r w:rsidR="00120FD9">
        <w:rPr>
          <w:lang w:val="en-US"/>
        </w:rPr>
        <w:t xml:space="preserve"> </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237"/>
      </w:tblGrid>
      <w:tr w:rsidR="0067341E" w14:paraId="3DC810F0" w14:textId="77777777">
        <w:trPr>
          <w:trHeight w:val="993"/>
        </w:trPr>
        <w:tc>
          <w:tcPr>
            <w:tcW w:w="2972" w:type="dxa"/>
          </w:tcPr>
          <w:p w14:paraId="71CFA314" w14:textId="77777777" w:rsidR="0067341E" w:rsidRDefault="00120FD9">
            <w:pPr>
              <w:pStyle w:val="InformasiArikel"/>
              <w:spacing w:after="0" w:line="240" w:lineRule="auto"/>
              <w:rPr>
                <w:lang w:val="zh-CN"/>
              </w:rPr>
            </w:pPr>
            <w:r>
              <w:rPr>
                <w:lang w:val="zh-CN"/>
              </w:rPr>
              <w:t>Informasi Artikel</w:t>
            </w:r>
          </w:p>
          <w:p w14:paraId="45B037D1" w14:textId="77777777" w:rsidR="0067341E" w:rsidRDefault="00120FD9">
            <w:pPr>
              <w:pStyle w:val="InformasiArikel"/>
              <w:spacing w:after="0" w:line="240" w:lineRule="auto"/>
              <w:rPr>
                <w:lang w:val="zh-CN"/>
              </w:rPr>
            </w:pPr>
            <w:r>
              <w:rPr>
                <w:lang w:val="zh-CN"/>
              </w:rPr>
              <w:t xml:space="preserve">Received: </w:t>
            </w:r>
          </w:p>
          <w:p w14:paraId="145A2904" w14:textId="77777777" w:rsidR="0067341E" w:rsidRDefault="00120FD9">
            <w:pPr>
              <w:pStyle w:val="InformasiArikel"/>
              <w:spacing w:after="0" w:line="240" w:lineRule="auto"/>
              <w:rPr>
                <w:b w:val="0"/>
                <w:bCs w:val="0"/>
                <w:lang w:val="en-US"/>
              </w:rPr>
            </w:pPr>
            <w:r>
              <w:rPr>
                <w:b w:val="0"/>
                <w:bCs w:val="0"/>
                <w:lang w:val="en-US"/>
              </w:rPr>
              <w:t>20</w:t>
            </w:r>
            <w:r>
              <w:rPr>
                <w:b w:val="0"/>
                <w:bCs w:val="0"/>
                <w:lang w:val="zh-CN"/>
              </w:rPr>
              <w:t>/</w:t>
            </w:r>
            <w:r>
              <w:rPr>
                <w:b w:val="0"/>
                <w:bCs w:val="0"/>
                <w:lang w:val="en-US"/>
              </w:rPr>
              <w:t>10</w:t>
            </w:r>
            <w:r>
              <w:rPr>
                <w:b w:val="0"/>
                <w:bCs w:val="0"/>
                <w:lang w:val="zh-CN"/>
              </w:rPr>
              <w:t>/</w:t>
            </w:r>
            <w:r>
              <w:rPr>
                <w:b w:val="0"/>
                <w:bCs w:val="0"/>
                <w:lang w:val="en-US"/>
              </w:rPr>
              <w:t>2025</w:t>
            </w:r>
          </w:p>
          <w:p w14:paraId="61E43AFE" w14:textId="77777777" w:rsidR="0067341E" w:rsidRDefault="00120FD9">
            <w:pPr>
              <w:pStyle w:val="InformasiArikel"/>
              <w:spacing w:after="0" w:line="240" w:lineRule="auto"/>
              <w:rPr>
                <w:lang w:val="en-US"/>
              </w:rPr>
            </w:pPr>
            <w:r>
              <w:rPr>
                <w:lang w:val="zh-CN"/>
              </w:rPr>
              <w:t>Accepted:</w:t>
            </w:r>
            <w:r>
              <w:rPr>
                <w:lang w:val="zh-CN"/>
              </w:rPr>
              <w:br/>
            </w:r>
            <w:r>
              <w:rPr>
                <w:b w:val="0"/>
                <w:bCs w:val="0"/>
                <w:lang w:val="en-US"/>
              </w:rPr>
              <w:t>20</w:t>
            </w:r>
            <w:r>
              <w:rPr>
                <w:b w:val="0"/>
                <w:bCs w:val="0"/>
                <w:lang w:val="zh-CN"/>
              </w:rPr>
              <w:t>/</w:t>
            </w:r>
            <w:r>
              <w:rPr>
                <w:b w:val="0"/>
                <w:bCs w:val="0"/>
                <w:lang w:val="en-US"/>
              </w:rPr>
              <w:t>11</w:t>
            </w:r>
            <w:r>
              <w:rPr>
                <w:b w:val="0"/>
                <w:bCs w:val="0"/>
                <w:lang w:val="zh-CN"/>
              </w:rPr>
              <w:t>/</w:t>
            </w:r>
            <w:r>
              <w:rPr>
                <w:b w:val="0"/>
                <w:bCs w:val="0"/>
                <w:lang w:val="en-US"/>
              </w:rPr>
              <w:t>2025</w:t>
            </w:r>
          </w:p>
        </w:tc>
        <w:tc>
          <w:tcPr>
            <w:tcW w:w="6237" w:type="dxa"/>
          </w:tcPr>
          <w:p w14:paraId="0BB8197D" w14:textId="77777777" w:rsidR="0067341E" w:rsidRDefault="00120FD9">
            <w:pPr>
              <w:pStyle w:val="Sistematika"/>
              <w:spacing w:before="0" w:beforeAutospacing="0" w:after="0"/>
              <w:rPr>
                <w:i/>
                <w:iCs/>
                <w:lang w:val="sv-SE"/>
              </w:rPr>
            </w:pPr>
            <w:r>
              <w:rPr>
                <w:lang w:val="sv-SE"/>
              </w:rPr>
              <w:t>ABSTRAK</w:t>
            </w:r>
            <w:r>
              <w:rPr>
                <w:i/>
                <w:iCs/>
                <w:lang w:val="sv-SE"/>
              </w:rPr>
              <w:t xml:space="preserve"> </w:t>
            </w:r>
          </w:p>
          <w:p w14:paraId="30B68383" w14:textId="77777777" w:rsidR="0067341E" w:rsidRDefault="00120FD9">
            <w:pPr>
              <w:pStyle w:val="Sistematika"/>
              <w:spacing w:before="0" w:beforeAutospacing="0" w:after="0"/>
              <w:jc w:val="both"/>
              <w:rPr>
                <w:b w:val="0"/>
                <w:bCs w:val="0"/>
                <w:i/>
                <w:iCs/>
                <w:lang w:val="fi-FI"/>
              </w:rPr>
            </w:pPr>
            <w:r>
              <w:rPr>
                <w:b w:val="0"/>
                <w:bCs w:val="0"/>
                <w:i/>
                <w:iCs/>
                <w:lang w:val="fi-FI"/>
              </w:rPr>
              <w:t xml:space="preserve">Pidana kerja sosial yang diatur dalam Undang-Undang Nomor 1 Tahun 2023 tentang Kitab Undang-Undang Hukum Pidana merupakan pidana pokok yang tidak hanya diperuntukkan memberikan efek jera namun juga sebagai bentuk hukuman yang sejalan dengan paradigma hukum pidana modern yang berupa keadilan korektif, restoratif, dan rehabilitatif. Pelaksanaan pidana kerja sosial memaksa para terpidana untuk melakukan pelayanan sosial selama kurun waktu tertentu dapat menjadi salah satu solusi bagi permasalahan over capacity lapas. Penelitian ini bertujuan untuk menganalisis model pelaksanaan pidana kerja sosial yang ideal. Penelitian ini menggunakan pendekatan kualitatif dengan metode yuridis empiris yang dilakukan melalui wawancara terhadap beberapa instansi sehingga ditemukan langkah implementatif yang sesuai dengan keadaan nyata di lapangan. Ditemukan bahwa pidana kerja sosial dapat diselenggarakan seperti halnya pelaksanaan pidana pelayanan masyarakat yang diterapkan pada anak berdasarkan Undang-Undang Nomor 11 Tahun 2012 tentang Sistem Peradilan Pidana Anak. Penelitian ini diharapkan dapat menjadi pertimbangan dalam pelaksanaan pidana kerja sosial yang akan diterapkan pada tahun 2026. </w:t>
            </w:r>
          </w:p>
          <w:p w14:paraId="64E00DC8" w14:textId="77777777" w:rsidR="0067341E" w:rsidRDefault="00120FD9">
            <w:pPr>
              <w:pStyle w:val="Sistematika"/>
              <w:spacing w:before="0" w:beforeAutospacing="0" w:after="0"/>
              <w:jc w:val="both"/>
              <w:rPr>
                <w:b w:val="0"/>
                <w:bCs w:val="0"/>
                <w:i/>
                <w:iCs/>
                <w:color w:val="FF0000"/>
                <w:lang w:val="fi-FI"/>
              </w:rPr>
            </w:pPr>
            <w:r>
              <w:rPr>
                <w:b w:val="0"/>
                <w:bCs w:val="0"/>
                <w:i/>
                <w:iCs/>
                <w:lang w:val="fi-FI"/>
              </w:rPr>
              <w:t xml:space="preserve">Kata </w:t>
            </w:r>
            <w:r>
              <w:rPr>
                <w:b w:val="0"/>
                <w:bCs w:val="0"/>
                <w:i/>
                <w:iCs/>
                <w:lang w:val="en-US"/>
              </w:rPr>
              <w:t>K</w:t>
            </w:r>
            <w:r>
              <w:rPr>
                <w:b w:val="0"/>
                <w:bCs w:val="0"/>
                <w:i/>
                <w:iCs/>
                <w:lang w:val="fi-FI"/>
              </w:rPr>
              <w:t>unci : Pidana Kerja Sosial, Model Pelaksanaan, KUHP, Undang-Undang Nomor 1 Tahun 2023</w:t>
            </w:r>
          </w:p>
          <w:p w14:paraId="027D9FA8" w14:textId="77777777" w:rsidR="0067341E" w:rsidRDefault="0067341E">
            <w:pPr>
              <w:pStyle w:val="Sistematika"/>
              <w:spacing w:before="0" w:beforeAutospacing="0" w:after="0"/>
              <w:jc w:val="both"/>
              <w:rPr>
                <w:b w:val="0"/>
                <w:bCs w:val="0"/>
                <w:lang w:val="fi-FI"/>
              </w:rPr>
            </w:pPr>
          </w:p>
          <w:p w14:paraId="28629606" w14:textId="77777777" w:rsidR="0067341E" w:rsidRDefault="00120FD9">
            <w:pPr>
              <w:pStyle w:val="Sistematika"/>
              <w:spacing w:before="0" w:beforeAutospacing="0" w:after="0"/>
              <w:rPr>
                <w:i/>
                <w:iCs/>
                <w:lang w:val="sv-SE"/>
              </w:rPr>
            </w:pPr>
            <w:r>
              <w:rPr>
                <w:i/>
                <w:iCs/>
                <w:lang w:val="sv-SE"/>
              </w:rPr>
              <w:t>ABSTRACT</w:t>
            </w:r>
          </w:p>
          <w:p w14:paraId="69221B2D" w14:textId="77777777" w:rsidR="0067341E" w:rsidRDefault="00120FD9">
            <w:pPr>
              <w:pStyle w:val="Sistematika"/>
              <w:spacing w:before="0" w:beforeAutospacing="0" w:after="0"/>
              <w:jc w:val="both"/>
              <w:rPr>
                <w:b w:val="0"/>
                <w:bCs w:val="0"/>
                <w:i/>
                <w:iCs/>
                <w:lang w:val="en-US"/>
              </w:rPr>
            </w:pPr>
            <w:r>
              <w:rPr>
                <w:b w:val="0"/>
                <w:bCs w:val="0"/>
                <w:i/>
                <w:iCs/>
                <w:lang w:val="en-US"/>
              </w:rPr>
              <w:t xml:space="preserve">Community service penalties regulated in Law Number 1 of 2023 concerning the Criminal Code are primary penalties that are not only intended to provide a deterrent effect but also as a form of punishment in line with the modern criminal law paradigm of corrective, restorative, and rehabilitative justice. The implementation of community service penalty, which requires convicts to perform social services for a certain period of time, can be one of the solutions to the problem of prison overcapacity. This study aims to analyse the ideal model for implementing community service penalty. This study uses a qualitative approach with an empirical juridical method conducted through interviews with several agencies to identify implementable steps that are in line with the actual conditions in the field. It was found that community service sentences can be implemented in the same way as community service sentences imposed on children under Law No. 11 of 2012 on the Juvenile Criminal Justice System. This study is expected to be taken into consideration in the implementation of community service sentences to be applied in 2026. </w:t>
            </w:r>
          </w:p>
          <w:p w14:paraId="5C798AA0" w14:textId="77777777" w:rsidR="0067341E" w:rsidRDefault="00120FD9">
            <w:pPr>
              <w:pStyle w:val="Sistematika"/>
              <w:spacing w:before="0" w:beforeAutospacing="0" w:after="0"/>
              <w:jc w:val="both"/>
              <w:rPr>
                <w:b w:val="0"/>
                <w:bCs w:val="0"/>
                <w:i/>
                <w:iCs/>
                <w:lang w:val="en-US"/>
              </w:rPr>
            </w:pPr>
            <w:r>
              <w:rPr>
                <w:b w:val="0"/>
                <w:bCs w:val="0"/>
                <w:i/>
                <w:iCs/>
                <w:lang w:val="zh-CN"/>
              </w:rPr>
              <w:t>Keywords: Community service penalt</w:t>
            </w:r>
            <w:r>
              <w:rPr>
                <w:b w:val="0"/>
                <w:bCs w:val="0"/>
                <w:i/>
                <w:iCs/>
                <w:lang w:val="en-US"/>
              </w:rPr>
              <w:t>y</w:t>
            </w:r>
            <w:r>
              <w:rPr>
                <w:b w:val="0"/>
                <w:bCs w:val="0"/>
                <w:i/>
                <w:iCs/>
                <w:lang w:val="zh-CN"/>
              </w:rPr>
              <w:t xml:space="preserve">, </w:t>
            </w:r>
            <w:r>
              <w:rPr>
                <w:b w:val="0"/>
                <w:bCs w:val="0"/>
                <w:i/>
                <w:iCs/>
                <w:lang w:val="en-US"/>
              </w:rPr>
              <w:t>Implementation model</w:t>
            </w:r>
            <w:r>
              <w:rPr>
                <w:b w:val="0"/>
                <w:bCs w:val="0"/>
                <w:i/>
                <w:iCs/>
                <w:lang w:val="zh-CN"/>
              </w:rPr>
              <w:t>,</w:t>
            </w:r>
            <w:r>
              <w:rPr>
                <w:b w:val="0"/>
                <w:bCs w:val="0"/>
                <w:i/>
                <w:iCs/>
                <w:lang w:val="en-US"/>
              </w:rPr>
              <w:t xml:space="preserve"> Criminal code</w:t>
            </w:r>
            <w:r>
              <w:rPr>
                <w:b w:val="0"/>
                <w:bCs w:val="0"/>
                <w:i/>
                <w:iCs/>
                <w:lang w:val="zh-CN"/>
              </w:rPr>
              <w:t xml:space="preserve">, </w:t>
            </w:r>
            <w:r>
              <w:rPr>
                <w:b w:val="0"/>
                <w:bCs w:val="0"/>
                <w:i/>
                <w:iCs/>
                <w:lang w:val="en-US"/>
              </w:rPr>
              <w:t>Law No. 1 of 2023</w:t>
            </w:r>
          </w:p>
        </w:tc>
      </w:tr>
    </w:tbl>
    <w:p w14:paraId="3F3EA7D8" w14:textId="77777777" w:rsidR="0067341E" w:rsidRDefault="0067341E">
      <w:pPr>
        <w:pStyle w:val="Sistematika"/>
        <w:spacing w:before="0" w:beforeAutospacing="0" w:after="0"/>
        <w:rPr>
          <w:b w:val="0"/>
          <w:bCs w:val="0"/>
          <w:szCs w:val="22"/>
        </w:rPr>
        <w:sectPr w:rsidR="0067341E">
          <w:headerReference w:type="even" r:id="rId10"/>
          <w:headerReference w:type="default" r:id="rId11"/>
          <w:footerReference w:type="even" r:id="rId12"/>
          <w:footerReference w:type="default" r:id="rId13"/>
          <w:headerReference w:type="first" r:id="rId14"/>
          <w:footerReference w:type="first" r:id="rId15"/>
          <w:pgSz w:w="11906" w:h="16838"/>
          <w:pgMar w:top="2388" w:right="1440" w:bottom="1440" w:left="1440" w:header="708" w:footer="708" w:gutter="0"/>
          <w:cols w:space="708"/>
          <w:titlePg/>
          <w:docGrid w:linePitch="360"/>
        </w:sectPr>
      </w:pPr>
    </w:p>
    <w:p w14:paraId="61B9EF72" w14:textId="77777777" w:rsidR="0067341E" w:rsidRDefault="0067341E">
      <w:pPr>
        <w:pStyle w:val="Sistematika"/>
        <w:spacing w:before="0" w:beforeAutospacing="0" w:after="0"/>
        <w:rPr>
          <w:i/>
          <w:iCs/>
        </w:rPr>
        <w:sectPr w:rsidR="0067341E">
          <w:type w:val="continuous"/>
          <w:pgSz w:w="11906" w:h="16838"/>
          <w:pgMar w:top="1440" w:right="1440" w:bottom="1440" w:left="1440" w:header="708" w:footer="708" w:gutter="0"/>
          <w:cols w:num="2" w:space="708"/>
          <w:titlePg/>
          <w:docGrid w:linePitch="360"/>
        </w:sectPr>
      </w:pPr>
    </w:p>
    <w:p w14:paraId="3523CA6C" w14:textId="77777777" w:rsidR="0067341E" w:rsidRDefault="0067341E">
      <w:pPr>
        <w:pStyle w:val="Affiliasi"/>
        <w:spacing w:after="100" w:afterAutospacing="1"/>
        <w:jc w:val="both"/>
        <w:rPr>
          <w:b/>
          <w:i/>
          <w:iCs/>
        </w:rPr>
      </w:pPr>
    </w:p>
    <w:p w14:paraId="39195B30" w14:textId="77777777" w:rsidR="0067341E" w:rsidRDefault="00120FD9">
      <w:pPr>
        <w:pStyle w:val="Affiliasi"/>
        <w:spacing w:after="100" w:afterAutospacing="1"/>
        <w:jc w:val="right"/>
        <w:rPr>
          <w:b/>
          <w:i/>
        </w:rPr>
      </w:pPr>
      <w:r>
        <w:rPr>
          <w:b/>
          <w:i/>
          <w:iCs/>
        </w:rPr>
        <w:t>Copyright © 2025 (</w:t>
      </w:r>
      <w:r>
        <w:rPr>
          <w:b/>
          <w:i/>
          <w:iCs/>
          <w:lang w:val="fi-FI"/>
        </w:rPr>
        <w:t>Putri Balqis Nuril Hakim, Firstia Qhaska Aqila, Felisha Chandra, Rizka Laelya Feliza, Muhammad Adzkiya Azam</w:t>
      </w:r>
      <w:r>
        <w:rPr>
          <w:b/>
          <w:i/>
        </w:rPr>
        <w:t>). All Right Reserved</w:t>
      </w:r>
    </w:p>
    <w:tbl>
      <w:tblPr>
        <w:tblW w:w="9106" w:type="dxa"/>
        <w:tblInd w:w="-34" w:type="dxa"/>
        <w:tblBorders>
          <w:bottom w:val="single" w:sz="4" w:space="0" w:color="auto"/>
        </w:tblBorders>
        <w:tblLayout w:type="fixed"/>
        <w:tblLook w:val="04A0" w:firstRow="1" w:lastRow="0" w:firstColumn="1" w:lastColumn="0" w:noHBand="0" w:noVBand="1"/>
      </w:tblPr>
      <w:tblGrid>
        <w:gridCol w:w="1310"/>
        <w:gridCol w:w="7796"/>
      </w:tblGrid>
      <w:tr w:rsidR="0067341E" w14:paraId="38C9BFFC" w14:textId="77777777">
        <w:tc>
          <w:tcPr>
            <w:tcW w:w="1310" w:type="dxa"/>
          </w:tcPr>
          <w:p w14:paraId="1CCC24FE" w14:textId="77777777" w:rsidR="0067341E" w:rsidRDefault="00120FD9">
            <w:pPr>
              <w:pStyle w:val="Sistematika"/>
              <w:rPr>
                <w:lang w:val="en-US"/>
              </w:rPr>
            </w:pPr>
            <w:r>
              <w:rPr>
                <w:sz w:val="20"/>
                <w:szCs w:val="20"/>
                <w:lang w:val="en-US"/>
              </w:rPr>
              <w:t>How to Cite:</w:t>
            </w:r>
          </w:p>
        </w:tc>
        <w:tc>
          <w:tcPr>
            <w:tcW w:w="7796" w:type="dxa"/>
          </w:tcPr>
          <w:p w14:paraId="5EB3F4F8" w14:textId="77777777" w:rsidR="0067341E" w:rsidRDefault="00120FD9">
            <w:pPr>
              <w:pStyle w:val="Sistematika"/>
              <w:jc w:val="both"/>
              <w:rPr>
                <w:b w:val="0"/>
                <w:bCs w:val="0"/>
                <w:i/>
                <w:sz w:val="20"/>
                <w:szCs w:val="20"/>
                <w:lang w:val="en-US"/>
              </w:rPr>
            </w:pPr>
            <w:r>
              <w:rPr>
                <w:b w:val="0"/>
                <w:bCs w:val="0"/>
                <w:sz w:val="20"/>
                <w:szCs w:val="20"/>
                <w:lang w:val="sv-SE"/>
              </w:rPr>
              <w:t xml:space="preserve">Hakim, P. B. N., et al (2023). Rekonstruksi Model Pelaksanaan Pidana Kerja Sosial Berdasarkan Undang-Undang Nomor 1 Tahun 2023 tentang Kitab Undang-Undang Hukum Pidana Jurnal </w:t>
            </w:r>
            <w:r>
              <w:rPr>
                <w:b w:val="0"/>
                <w:bCs w:val="0"/>
                <w:sz w:val="20"/>
                <w:szCs w:val="20"/>
                <w:lang w:val="en-US"/>
              </w:rPr>
              <w:t>EduLegis</w:t>
            </w:r>
            <w:r>
              <w:rPr>
                <w:b w:val="0"/>
                <w:bCs w:val="0"/>
                <w:sz w:val="20"/>
                <w:szCs w:val="20"/>
                <w:lang w:val="sv-SE"/>
              </w:rPr>
              <w:t xml:space="preserve">, xx(x), 1-11. </w:t>
            </w:r>
            <w:r>
              <w:rPr>
                <w:b w:val="0"/>
                <w:bCs w:val="0"/>
                <w:sz w:val="20"/>
                <w:szCs w:val="20"/>
                <w:lang w:val="it-IT"/>
              </w:rPr>
              <w:t>DOI.</w:t>
            </w:r>
          </w:p>
        </w:tc>
      </w:tr>
    </w:tbl>
    <w:p w14:paraId="2ED703FC" w14:textId="77777777" w:rsidR="0067341E" w:rsidRDefault="00120FD9">
      <w:pPr>
        <w:pStyle w:val="Heading1"/>
        <w:sectPr w:rsidR="0067341E">
          <w:type w:val="continuous"/>
          <w:pgSz w:w="11906" w:h="16838"/>
          <w:pgMar w:top="2640" w:right="1440" w:bottom="1440" w:left="1440" w:header="708" w:footer="708" w:gutter="0"/>
          <w:cols w:space="708"/>
          <w:titlePg/>
          <w:docGrid w:linePitch="360"/>
        </w:sectPr>
      </w:pPr>
      <w:r>
        <w:t xml:space="preserve">Pendahuluan </w:t>
      </w:r>
      <w:bookmarkStart w:id="0" w:name="_Hlk173953231"/>
    </w:p>
    <w:bookmarkEnd w:id="0"/>
    <w:p w14:paraId="09C0A16F" w14:textId="77777777" w:rsidR="0067341E" w:rsidRDefault="00120FD9">
      <w:pPr>
        <w:pStyle w:val="Paragraph"/>
        <w:ind w:firstLine="720"/>
        <w:rPr>
          <w:lang w:val="id-ID"/>
        </w:rPr>
      </w:pPr>
      <w:r>
        <w:rPr>
          <w:lang w:val="id-ID"/>
        </w:rPr>
        <w:t xml:space="preserve">Masalah </w:t>
      </w:r>
      <w:r>
        <w:rPr>
          <w:i/>
          <w:iCs/>
          <w:lang w:val="id-ID"/>
        </w:rPr>
        <w:t>over capacity</w:t>
      </w:r>
      <w:r>
        <w:rPr>
          <w:lang w:val="id-ID"/>
        </w:rPr>
        <w:t xml:space="preserve"> atau kelebihan kapasitas di lembaga pemasyarakatan (Lapas) dan rumah tahanan negara (Rutan) di Indonesia telah menjadi isu serius dalam sistem peradilan pidana. Berdasarkan data yang diperoleh dari situs resmi Direktorat Jenderal Pemasyarakatan Kementerian Hukum dan HAM per 23 September 2025, tercatat jumlah penghuni di seluruh Lapas, Rutan, Lembaga Pembinaan Khusus Anak (LPKA), dan Lembaga Pemasyarakatan Perempuan (LPP) mencapai 278.609 orang. Sebanyak 193.362 orang berada di Lapas, 75.992 orang di Rutan, 2.382 orang di LPKA, dan 6.873 orang di LPP sedangkan total kapasitas lembaga-lembaga tersebut hanya mampu menampung 147.684 orang </w:t>
      </w:r>
      <w:r>
        <w:rPr>
          <w:rStyle w:val="FootnoteReference"/>
          <w:lang w:val="id-ID"/>
        </w:rPr>
        <w:fldChar w:fldCharType="begin" w:fldLock="1"/>
      </w:r>
      <w:r>
        <w:rPr>
          <w:lang w:val="id-ID"/>
        </w:rPr>
        <w:instrText>ADDIN CSL_CITATION {"citationItems":[{"id":"ITEM-1","itemData":{"URL":"https://sdppublik.ditjenpas.go.id/","accessed":{"date-parts":[["2025","5","27"]]},"author":[{"dropping-particle":"","family":"Direktorat Jenderal Pemasyarakatan","given":"","non-dropping-particle":"","parse-names":false,"suffix":""}],"container-title":"SDP Publik","id":"ITEM-1","issued":{"date-parts":[["2025"]]},"title":"Laporan Jumlah Penghuni Khusus","type":"webpage"},"uris":["http://www.mendeley.com/documents/?uuid=9b410fb9-643f-4c09-b18e-5cbffe4e5b6e"]}],"mendeley":{"formattedCitation":"(Direktorat Jenderal Pemasyarakatan, 2025)","plainTextFormattedCitation":"(Direktorat Jenderal Pemasyarakatan, 2025)","previouslyFormattedCitation":"(Direktorat Jenderal Pemasyarakatan, 2025)"},"properties":{"noteIndex":0},"schema":"https://github.com/citation-style-language/schema/raw/master/csl-citation.json"}</w:instrText>
      </w:r>
      <w:r>
        <w:rPr>
          <w:rStyle w:val="FootnoteReference"/>
          <w:lang w:val="id-ID"/>
        </w:rPr>
        <w:fldChar w:fldCharType="separate"/>
      </w:r>
      <w:r>
        <w:rPr>
          <w:lang w:val="id-ID"/>
        </w:rPr>
        <w:t>(Direktorat Jenderal Pemasyarakatan, 2025)</w:t>
      </w:r>
      <w:r>
        <w:rPr>
          <w:rStyle w:val="FootnoteReference"/>
          <w:lang w:val="id-ID"/>
        </w:rPr>
        <w:fldChar w:fldCharType="end"/>
      </w:r>
      <w:r>
        <w:rPr>
          <w:lang w:val="id-ID"/>
        </w:rPr>
        <w:t>. Adanya kelebihan penghuni sebesar 88,6% ini menimbulkan permasalahan dan berdampak negatif pada efektivitas pembinaan narapidana, kurangnya ruang rehabilitasi, dan meningkatnya potensi konflik antar penghuni yang pada akhirnya membuat tujuan pembinaan, rehabilitasi, dan resosialisasi para pelaku tindak pidana menjadi sulit tercapai.</w:t>
      </w:r>
    </w:p>
    <w:p w14:paraId="3DFDCC5B" w14:textId="77777777" w:rsidR="0067341E" w:rsidRDefault="00120FD9">
      <w:pPr>
        <w:pStyle w:val="Paragraph"/>
        <w:ind w:firstLine="720"/>
        <w:rPr>
          <w:lang w:val="id-ID"/>
        </w:rPr>
      </w:pPr>
      <w:r>
        <w:rPr>
          <w:lang w:val="id-ID"/>
        </w:rPr>
        <w:t xml:space="preserve">Selama ini, pidana penjara menjadi bentuk penghukuman yang paling banyak diterapkan di Indonesia. Namun, pendekatan ini menuai kritik karena sering kali tidak memberikan efek jera maupun rehabilitasi yang efektif, terutama bagi pelaku tindak pidana ringan dan non-kekerasan </w:t>
      </w:r>
      <w:r>
        <w:rPr>
          <w:lang w:val="id-ID"/>
        </w:rPr>
        <w:fldChar w:fldCharType="begin" w:fldLock="1"/>
      </w:r>
      <w:r>
        <w:rPr>
          <w:lang w:val="id-ID"/>
        </w:rPr>
        <w:instrText>ADDIN CSL_CITATION {"citationItems":[{"id":"ITEM-1","itemData":{"author":[{"dropping-particle":"","family":"Slat","given":"Teafani Kaunang","non-dropping-particle":"","parse-names":false,"suffix":""}],"container-title":"Jurnal Ilmiah Pendidikan Pancasila Dan Kewarganegaraan","id":"ITEM-1","issue":"2","issued":{"date-parts":[["2020"]]},"page":"352-360","title":"Sanksi Pidana Kerja Sosial Terhadap Tindak Pidana Ringan Sebagai Upaya Pembaharuan Hukum Pidana Nasional","type":"article-journal","volume":"4"},"uris":["http://www.mendeley.com/documents/?uuid=076d6475-9c44-4c08-b5fb-7cae43af2c13"]}],"mendeley":{"formattedCitation":"(Slat, 2020)","plainTextFormattedCitation":"(Slat, 2020)","previouslyFormattedCitation":"(Slat, 2020)"},"properties":{"noteIndex":0},"schema":"https://github.com/citation-style-language/schema/raw/master/csl-citation.json"}</w:instrText>
      </w:r>
      <w:r>
        <w:rPr>
          <w:lang w:val="id-ID"/>
        </w:rPr>
        <w:fldChar w:fldCharType="separate"/>
      </w:r>
      <w:r>
        <w:rPr>
          <w:lang w:val="id-ID"/>
        </w:rPr>
        <w:t>(Slat, 2020)</w:t>
      </w:r>
      <w:r>
        <w:rPr>
          <w:lang w:val="id-ID"/>
        </w:rPr>
        <w:fldChar w:fldCharType="end"/>
      </w:r>
      <w:r>
        <w:rPr>
          <w:lang w:val="id-ID"/>
        </w:rPr>
        <w:t xml:space="preserve">. Pidana penjara jangka pendek bahkan dinilai berisiko meningkatkan angka residivisme dan membebani sistem pemasyarakatan. Oleh karena itu, diperlukan alternatif penghukuman yang lebih berorientasi pada rehabilitasi, resosialisasi, dan pengurangan dampak negatif pidana penjara </w:t>
      </w:r>
      <w:r>
        <w:rPr>
          <w:lang w:val="id-ID"/>
        </w:rPr>
        <w:fldChar w:fldCharType="begin" w:fldLock="1"/>
      </w:r>
      <w:r>
        <w:rPr>
          <w:lang w:val="id-ID"/>
        </w:rPr>
        <w:instrText>ADDIN CSL_CITATION {"citationItems":[{"id":"ITEM-1","itemData":{"DOI":"10.30641/dejure.2023.v23.219-230","ISSN":"1410-5632","abstract":"The most current Indonesian Criminal Code (KUHP) contains the concept of Community Service Punishment, which is considered an effort to reform the criminal law system. Community Service Punishment, as a form of punishment in this country, requires an appropriate mechanism to achieve sentencing goals, namely the rehabilitation of convicts through participation in social activities that benefit society. This study aims to analyze the existence of Community Service Punishment to strengthen law enforcers’ understanding of it as one of the main recognized forms of punishment. By using a progressive legal perspective, this research recognizes that the law should consider the development of society and emphasizes the importance of legal reform, if necessary. This study uses a normative juridical approach and conducts qualitative analysis. Based on the results of research conducted through literature studies, it was found that the criminal justice process results in overcapacity in Correctional Facilities, which ultimately hinders the achievement of sentencing goals. Therefore, the importance of imposing Community Service Punishment is very relevant. However, to carry out Community Service Punishment effectively, an organized and systematic procedure is required. This will ensure that the implementation of Community Service Punishment aligns with the expectations and goals to be achieved. We suggest that the relevant parties take advantage of the ratification of the Criminal Code as an opportunity to renew criminal law in Indonesia by increasing the competence and coordination of the criminal justice subsystem in terms of Community Service Punishment.","author":[{"dropping-particle":"","family":"Rafsanjani","given":"Jody Imam","non-dropping-particle":"","parse-names":false,"suffix":""},{"dropping-particle":"","family":"Prasetio","given":"Rizki Bagus","non-dropping-particle":"","parse-names":false,"suffix":""},{"dropping-particle":"","family":"Anggayudha","given":"Zaihan Harmaen","non-dropping-particle":"","parse-names":false,"suffix":""}],"container-title":"Jurnal Penelitian Hukum De Jure","id":"ITEM-1","issue":"2","issued":{"date-parts":[["2023"]]},"page":"219","title":"Eksistensi Pidana Kerja Sosial dalam Perspektif Hukum Progresif","type":"article-journal","volume":"23"},"uris":["http://www.mendeley.com/documents/?uuid=dd9ebf4d-6440-49b3-b1dc-723197461717"]}],"mendeley":{"formattedCitation":"(Rafsanjani et al., 2023)","plainTextFormattedCitation":"(Rafsanjani et al., 2023)","previouslyFormattedCitation":"(Rafsanjani et al., 2023)"},"properties":{"noteIndex":0},"schema":"https://github.com/citation-style-language/schema/raw/master/csl-citation.json"}</w:instrText>
      </w:r>
      <w:r>
        <w:rPr>
          <w:lang w:val="id-ID"/>
        </w:rPr>
        <w:fldChar w:fldCharType="separate"/>
      </w:r>
      <w:r>
        <w:rPr>
          <w:lang w:val="id-ID"/>
        </w:rPr>
        <w:t>(Rafsanjani et al., 2023)</w:t>
      </w:r>
      <w:r>
        <w:rPr>
          <w:lang w:val="id-ID"/>
        </w:rPr>
        <w:fldChar w:fldCharType="end"/>
      </w:r>
      <w:r>
        <w:rPr>
          <w:lang w:val="id-ID"/>
        </w:rPr>
        <w:t xml:space="preserve">. Pembaruan hukum pidana mengakomodir pengundangan Undang-Undang Nomor 1 Tahun 2023 tentang Kitab Undang-Undang Hukum Pidana (selanjutnya disebut sebagai KUHP) yang akan berlaku pada tahun 2026 dengan memperkenalkan pidana kerja sosial yang menjadi salah satu bentuk hukuman. Pidana kerja sosial adalah jenis pidana berupa pelaksanaan pekerjaan tertentu oleh terpidana di masyarakat tanpa mendapatkan upah berdasarkan persyaratan yang diatur oleh peraturan perundang-undangan dan putusan pengadilan </w:t>
      </w:r>
      <w:r>
        <w:rPr>
          <w:lang w:val="id-ID"/>
        </w:rPr>
        <w:fldChar w:fldCharType="begin" w:fldLock="1"/>
      </w:r>
      <w:r>
        <w:rPr>
          <w:lang w:val="id-ID"/>
        </w:rPr>
        <w:instrText>ADDIN CSL_CITATION {"citationItems":[{"id":"ITEM-1","itemData":{"abstract":"Penelitian ini bertujuan mengetahui dan menganalisis kebijakan hukum pidana terhadap pidana kerja sosial dan kebijakan formulasi RUU KUHP terhadap pidana kerja sosial sebagai alternatif pidana penjara. Penelitian ini adalah penelitian normative. Hasil penelitian adalah Kebijakan hukum pidana terhadap pidana kerja sosial yaitu dalam kebijakan formulasi tahapan pembentuk undang-undang melakukan kegiatan memilih nilai-nilai yang sesuai dengan keadaan dan situasi masa kini dan masa yang akan datang, pidana kerja sosial sebagai alternative pidana penjara sebagai upaya untuk mewujudkan tujuan pemidanaan tidak lagi balas dendam tetapi memperbaiki keadaan pelaku kejahatan agar dapat berguna dan bermanfaat. Pidana kerja sosial dapat dijatuhkan jika musyawarah majelis hakim yang memeriksa suatu perkara memutuskan bahwa terdakwa akan dijatuhi pidana penjara yang lamanya tidak lebih dari 6 bulan atau pidana denda tidak lebih dari denda kategori I dan dalam penjatuhan pidana kerja sosial hakim wajib mempertimbangkan yaitu pengakuan terdakwa terhadap tindak pidana yang dilakukan, usia layak kerja dari terdakwa berdasarkan peraturan perundang-undangan yang berlaku, dan persetujuan terdakwa terhadap kerja sosial.","author":[{"dropping-particle":"","family":"Igo","given":"Mahyudin","non-dropping-particle":"","parse-names":false,"suffix":""},{"dropping-particle":"","family":"Amiruddin","given":"Amiruddin","non-dropping-particle":"","parse-names":false,"suffix":""},{"dropping-particle":"","family":"Ufran","given":"Ufran","non-dropping-particle":"","parse-names":false,"suffix":""}],"container-title":"Jurnal Education and development","id":"ITEM-1","issue":"2","issued":{"date-parts":[["2022"]]},"page":"707-713","title":"Kebijakan Formulasi Dalam RUU KUHP Terhadap Pidana Kerja Sosial Sebagai Alternatif Pidana Penjara","type":"article-journal","volume":"10"},"uris":["http://www.mendeley.com/documents/?uuid=35dbbfbc-8a50-4440-8d7d-404f9515449b"]}],"mendeley":{"formattedCitation":"(Igo et al., 2022)","plainTextFormattedCitation":"(Igo et al., 2022)","previouslyFormattedCitation":"(Igo et al., 2022)"},"properties":{"noteIndex":0},"schema":"https://github.com/citation-style-language/schema/raw/master/csl-citation.json"}</w:instrText>
      </w:r>
      <w:r>
        <w:rPr>
          <w:lang w:val="id-ID"/>
        </w:rPr>
        <w:fldChar w:fldCharType="separate"/>
      </w:r>
      <w:r>
        <w:rPr>
          <w:lang w:val="id-ID"/>
        </w:rPr>
        <w:t>(Igo et al., 2022)</w:t>
      </w:r>
      <w:r>
        <w:rPr>
          <w:lang w:val="id-ID"/>
        </w:rPr>
        <w:fldChar w:fldCharType="end"/>
      </w:r>
      <w:r>
        <w:rPr>
          <w:lang w:val="id-ID"/>
        </w:rPr>
        <w:t>.</w:t>
      </w:r>
    </w:p>
    <w:p w14:paraId="4C959F44" w14:textId="77777777" w:rsidR="0067341E" w:rsidRDefault="00120FD9">
      <w:pPr>
        <w:pStyle w:val="Paragraph"/>
        <w:ind w:firstLine="720"/>
        <w:rPr>
          <w:lang w:val="sv-SE"/>
        </w:rPr>
      </w:pPr>
      <w:r>
        <w:rPr>
          <w:lang w:val="id-ID"/>
        </w:rPr>
        <w:t xml:space="preserve">Pidana kerja sosial menawarkan pendekatan yang lebih humanis dan konstruktif dibandingkan pidana penjara. Konsep ini tidak hanya bertujuan untuk merehabilitasi terpidana, tetapi juga memberikan manfaat langsung kepada masyarakat melalui kegiatan sosial yang dilakukan oleh pelaku. Pidana kerja sosial tidak hanya berperan sebagai bentuk hukuman, tetapi juga sebagai sarana pemulihan dan kontribusi sosial, kehadiran pidana kerja sosial ini diharapkan dapat mengurangi beban kelebihan kapasitas lembaga pemasyarakatan dan meningkatkan langkah rehabilitasi pelaku serta memberikan manfaat nyata bagi masyarakat., juga memperkuat penerapan prinsip </w:t>
      </w:r>
      <w:r>
        <w:rPr>
          <w:i/>
          <w:iCs/>
          <w:lang w:val="id-ID"/>
        </w:rPr>
        <w:t>restorative justice</w:t>
      </w:r>
      <w:r>
        <w:rPr>
          <w:lang w:val="id-ID"/>
        </w:rPr>
        <w:t xml:space="preserve"> dalam sistem hukum pidana Indonesia </w:t>
      </w:r>
      <w:r>
        <w:rPr>
          <w:lang w:val="id-ID"/>
        </w:rPr>
        <w:fldChar w:fldCharType="begin" w:fldLock="1"/>
      </w:r>
      <w:r>
        <w:rPr>
          <w:lang w:val="id-ID"/>
        </w:rPr>
        <w:instrText>ADDIN CSL_CITATION {"citationItems":[{"id":"ITEM-1","itemData":{"DOI":"10.29303/ius.v8i1.726","ISSN":"2303-3827","abstract":"The problem of prison overcrowding is increasing every year and almost occurs in all correctional institutions in Indonesia. One of the efforts to overcome the overcrowding is to use an alternative to imprisonment, it is community service order. The purpose of this research is intended to find out whether community service order can be an appropriate alternative to overcome prison overcrowding. This research is a doctrinal research. That is research that uses normative legal research methods. The result of this research is that community service order is expected to avoid or at least minimize the negative impact of massive imprisonment efforts and can be one of the right alternatives for overcome the overcrowding that occurs in Indonesia.","author":[{"dropping-particle":"","family":"Jamilah","given":"Asiyah","non-dropping-particle":"","parse-names":false,"suffix":""},{"dropping-particle":"","family":"Disemadi","given":"Hari Sutra","non-dropping-particle":"","parse-names":false,"suffix":""}],"container-title":"Jurnal IUS Kajian Hukum dan Keadilan","id":"ITEM-1","issue":"1","issued":{"date-parts":[["2020"]]},"page":"26","title":"Pidana Kerja Sosial: Kebijakan Penanggulangan Overcrowding Penjara","type":"article-journal","volume":"8"},"uris":["http://www.mendeley.com/documents/?uuid=6b6aea90-a007-4d00-9807-282f6538cbd3"]}],"mendeley":{"formattedCitation":"(Jamilah &amp; Disemadi, 2020)","plainTextFormattedCitation":"(Jamilah &amp; Disemadi, 2020)","previouslyFormattedCitation":"(Jamilah &amp; Disemadi, 2020)"},"properties":{"noteIndex":0},"schema":"https://github.com/citation-style-language/schema/raw/master/csl-citation.json"}</w:instrText>
      </w:r>
      <w:r>
        <w:rPr>
          <w:lang w:val="id-ID"/>
        </w:rPr>
        <w:fldChar w:fldCharType="separate"/>
      </w:r>
      <w:r>
        <w:rPr>
          <w:lang w:val="id-ID"/>
        </w:rPr>
        <w:t>(Jamilah &amp; Disemadi, 2020)</w:t>
      </w:r>
      <w:r>
        <w:rPr>
          <w:lang w:val="id-ID"/>
        </w:rPr>
        <w:fldChar w:fldCharType="end"/>
      </w:r>
      <w:r>
        <w:rPr>
          <w:lang w:val="id-ID"/>
        </w:rPr>
        <w:t>. Konsep baru yang diterapkan dalam KUHP melalui pidana kerja sosial ini memerlukan model pelaksanaan untuk mengetahui langkah-langkah yang tepat sehingga tujuan yang diharapkan dapat tercapai dengan optimal.</w:t>
      </w:r>
    </w:p>
    <w:p w14:paraId="230BD63C" w14:textId="77777777" w:rsidR="0067341E" w:rsidRDefault="00120FD9">
      <w:pPr>
        <w:pStyle w:val="Paragraph"/>
        <w:ind w:firstLine="720"/>
        <w:rPr>
          <w:lang w:val="sv-SE"/>
        </w:rPr>
      </w:pPr>
      <w:r>
        <w:rPr>
          <w:lang w:val="sv-SE"/>
        </w:rPr>
        <w:t xml:space="preserve">Penelitian yang membahas mengenai KUHP telah banyak dilakukan namun yang secara khusus membahas mengenai pidana kerja sosial terutama mengenai model pelaksanaannya, bagaimana pidana kerja sosial dapat dilaksanakan, dan apa konsekuensi yang mungkin ditimbulkan dalam pelaksanaannya belum banyak dibahas. </w:t>
      </w:r>
    </w:p>
    <w:p w14:paraId="1826902B" w14:textId="77777777" w:rsidR="0067341E" w:rsidRDefault="0067341E">
      <w:pPr>
        <w:pStyle w:val="Paragraph"/>
        <w:ind w:firstLine="720"/>
        <w:rPr>
          <w:lang w:val="sv-SE"/>
        </w:rPr>
      </w:pPr>
    </w:p>
    <w:p w14:paraId="1A758955" w14:textId="77777777" w:rsidR="0067341E" w:rsidRDefault="0067341E">
      <w:pPr>
        <w:pStyle w:val="Paragraph"/>
        <w:ind w:firstLine="720"/>
        <w:rPr>
          <w:lang w:val="sv-SE"/>
        </w:rPr>
      </w:pPr>
    </w:p>
    <w:p w14:paraId="2A222ED6" w14:textId="77777777" w:rsidR="0067341E" w:rsidRDefault="0067341E">
      <w:pPr>
        <w:pStyle w:val="Paragraph"/>
        <w:ind w:firstLine="720"/>
        <w:rPr>
          <w:lang w:val="sv-SE"/>
        </w:rPr>
      </w:pPr>
    </w:p>
    <w:p w14:paraId="7C6BA0FA" w14:textId="77777777" w:rsidR="0067341E" w:rsidRDefault="0067341E">
      <w:pPr>
        <w:pStyle w:val="Paragraph"/>
        <w:ind w:firstLine="720"/>
        <w:rPr>
          <w:lang w:val="sv-SE"/>
        </w:rPr>
      </w:pPr>
    </w:p>
    <w:p w14:paraId="480BA3D6" w14:textId="77777777" w:rsidR="0067341E" w:rsidRDefault="0067341E">
      <w:pPr>
        <w:pStyle w:val="Paragraph"/>
        <w:ind w:firstLine="720"/>
        <w:rPr>
          <w:lang w:val="sv-SE"/>
        </w:rPr>
      </w:pPr>
    </w:p>
    <w:p w14:paraId="01991CBE" w14:textId="77777777" w:rsidR="0067341E" w:rsidRDefault="00120FD9">
      <w:pPr>
        <w:pStyle w:val="Heading1"/>
        <w:sectPr w:rsidR="0067341E">
          <w:type w:val="continuous"/>
          <w:pgSz w:w="11906" w:h="16838"/>
          <w:pgMar w:top="1440" w:right="1440" w:bottom="1440" w:left="1440" w:header="708" w:footer="708" w:gutter="0"/>
          <w:cols w:space="708"/>
          <w:titlePg/>
          <w:docGrid w:linePitch="360"/>
        </w:sectPr>
      </w:pPr>
      <w:r>
        <w:t xml:space="preserve">Metode </w:t>
      </w:r>
    </w:p>
    <w:p w14:paraId="69F049E3" w14:textId="77777777" w:rsidR="0067341E" w:rsidRDefault="00120FD9">
      <w:pPr>
        <w:pStyle w:val="Paragraph"/>
        <w:ind w:firstLine="720"/>
      </w:pPr>
      <w:r>
        <w:rPr>
          <w:lang w:val="id-ID"/>
        </w:rPr>
        <w:t>Penelitian ini menggunakan pendekatan kualitatif dengan jenis penelitian yuridis empiris. Penelitian ini diawali dengan identifikasi terhadap sumber data sekunder yang didapatkan melalui studi kepustakaan terhadap peraturan perundang-undangan, buku, jurnal, proseeding seminer, serta literatur hukum lainnya yang berkaitan dengan pidana kerja sosial. Peraturan perundang-undangan yang digunakan antara lain Undang-Undang Nomor 1 Tahun 2023 tentang Kitab Undang-Undang Hukum Pidana, Undang-Undang Nomor 11 Tahun 2012 tentang Sistem Peradilan Pidana Anak, Undang-Undang Nomor 22 Tahun 2022 tentang Pemasyarakatan, dan peraturan perundang-undangan lain yang relevan dengan pokok bahasan. Data primer didapatkan melalui wawancara kepada instansi yang bersinggungan yakni Balai Pemasyarakatan Kelas I Kota Semarang, Kejaksaan Negeri Kota Semarang, dan Pengadilan Negeri Kelas IA Khusus Kota Semarang. Validitas data diuji menggunakan teknik triangulasi data yang membandingkan data dari sumber yang berbeda.</w:t>
      </w:r>
    </w:p>
    <w:p w14:paraId="424F7164" w14:textId="77777777" w:rsidR="0067341E" w:rsidRDefault="00120FD9">
      <w:pPr>
        <w:pStyle w:val="Heading1"/>
        <w:sectPr w:rsidR="0067341E">
          <w:type w:val="continuous"/>
          <w:pgSz w:w="11906" w:h="16838"/>
          <w:pgMar w:top="1440" w:right="1440" w:bottom="1440" w:left="1440" w:header="708" w:footer="708" w:gutter="0"/>
          <w:cols w:space="708"/>
          <w:titlePg/>
          <w:docGrid w:linePitch="360"/>
        </w:sectPr>
      </w:pPr>
      <w:r>
        <w:rPr>
          <w:lang w:val="en-US"/>
        </w:rPr>
        <w:t xml:space="preserve">Hasil dan Pembahasan </w:t>
      </w:r>
    </w:p>
    <w:p w14:paraId="7CBDEC28" w14:textId="77777777" w:rsidR="0067341E" w:rsidRDefault="00120FD9">
      <w:pPr>
        <w:pStyle w:val="Paragraph"/>
        <w:ind w:firstLine="720"/>
        <w:rPr>
          <w:lang w:val="id-ID"/>
        </w:rPr>
      </w:pPr>
      <w:r>
        <w:rPr>
          <w:lang w:val="id-ID"/>
        </w:rPr>
        <w:t xml:space="preserve">Pidana kerja sosial menjadi salah satu pidana pokok dalam Pasal 65 KUHP yang dapat dijatuhkan pada terdakwa sesuai syarat yang dijelaskan pada Pasal 85 Ayat (1) KUHP yang menyebutkan bahwa “Pidana kerja sosial dapat dijatuhkan kepada terdakwa yang melakukan Tindak Pidana yang diancam dengan pidana penjara kurang dari 5 (lima) tahun dan hakim menjatuhkan pidana penjara paling lama 6 (enam) bulan atau pidana denda paling banyak kategori II” </w:t>
      </w:r>
      <w:r>
        <w:rPr>
          <w:rStyle w:val="FootnoteReference"/>
          <w:lang w:val="id-ID"/>
        </w:rPr>
        <w:fldChar w:fldCharType="begin" w:fldLock="1"/>
      </w:r>
      <w:r>
        <w:rPr>
          <w:lang w:val="id-ID"/>
        </w:rPr>
        <w:instrText>ADDIN CSL_CITATION {"citationItems":[{"id":"ITEM-1","itemData":{"author":[{"dropping-particle":"","family":"Pemerintah Republik Indonesia","given":"","non-dropping-particle":"","parse-names":false,"suffix":""}],"id":"ITEM-1","issued":{"date-parts":[["2023"]]},"publisher-place":"Indonesia","title":"Undang-Undang Nomor 1 Tahun 2023 tentang Kitab Undang-Undang Hukum Pidana","type":"legislation"},"uris":["http://www.mendeley.com/documents/?uuid=7ea598e4-0a2d-4bd1-811e-dcb5918f6b60"]}],"mendeley":{"formattedCitation":"(Undang-Undang Nomor 1 Tahun 2023 Tentang Kitab Undang-Undang Hukum Pidana, 2023)","plainTextFormattedCitation":"(Undang-Undang Nomor 1 Tahun 2023 Tentang Kitab Undang-Undang Hukum Pidana, 2023)","previouslyFormattedCitation":"(Undang-Undang Nomor 1 Tahun 2023 Tentang Kitab Undang-Undang Hukum Pidana, 2023)"},"properties":{"noteIndex":0},"schema":"https://github.com/citation-style-language/schema/raw/master/csl-citation.json"}</w:instrText>
      </w:r>
      <w:r>
        <w:rPr>
          <w:rStyle w:val="FootnoteReference"/>
          <w:lang w:val="id-ID"/>
        </w:rPr>
        <w:fldChar w:fldCharType="separate"/>
      </w:r>
      <w:r>
        <w:rPr>
          <w:lang w:val="id-ID"/>
        </w:rPr>
        <w:t>(Undang-Undang Nomor 1 Tahun 2023 Tentang Kitab Undang-Undang Hukum Pidana, 2023)</w:t>
      </w:r>
      <w:r>
        <w:rPr>
          <w:rStyle w:val="FootnoteReference"/>
          <w:lang w:val="id-ID"/>
        </w:rPr>
        <w:fldChar w:fldCharType="end"/>
      </w:r>
      <w:r>
        <w:rPr>
          <w:lang w:val="id-ID"/>
        </w:rPr>
        <w:t>. Pidana ini dijatuhkan paling singkat 8 (delapan) jam dan paling lama 240 (dua ratus empat puluh) jam yang dilaksanakan paling lama 8 (delapan) jam dalam 1 (satu) hari dan dapat diangsur hingga maksimal 6 (enam) bulan dengan memperhatikan kegiatan terpidana dalam menjalankan mata pencaharian dan/atau kegiatan lain yang bermanfaat, dapat dijalankan di rumah sakit, panti asuhan, panti lansia, sekolah, atau lembaga sosial lainnya yang pelaksanaannya dimuat dalam putusan pengadilan. Putusan tersebut wajib memuat perintah apabila terpidana tanpa alasan yang sah tidak menjalankan seluruh atau sebagian pidana kerja sosial. Pengawasan atas pelaksanaan pidana kerja sosial dilaksanakan oleh jaksa dan pembimbing kemasyarakatan.</w:t>
      </w:r>
    </w:p>
    <w:p w14:paraId="1D19AAC7" w14:textId="77777777" w:rsidR="0067341E" w:rsidRDefault="00120FD9">
      <w:pPr>
        <w:pStyle w:val="Paragraph"/>
        <w:ind w:firstLine="720"/>
        <w:rPr>
          <w:lang w:val="id-ID"/>
        </w:rPr>
      </w:pPr>
      <w:r>
        <w:rPr>
          <w:lang w:val="id-ID"/>
        </w:rPr>
        <w:t xml:space="preserve">Pidana kerja sosial memiliki kemiripan dengan pidana pelayanan masyarakat yang telah lebih dahulu diterapkan dalam Undang-Undang Nomor 11 Tahun 2012 tentang Sistem Peradilan Pidana Anak dalam hal petunjuk pelaksanaan walau keduanya ditujukan untuk kelompok yang berbeda. Sama seperti pidana kerja sosial, pidana pelayanan masyarakat dilakukan di lembaga pemerintah atau lembaga kesejahteraan sosial misalnya membantu lansia, orang berkebutuhan khusus, atau anak yatim piatu </w:t>
      </w:r>
      <w:r>
        <w:rPr>
          <w:lang w:val="id-ID"/>
        </w:rPr>
        <w:fldChar w:fldCharType="begin" w:fldLock="1"/>
      </w:r>
      <w:r>
        <w:rPr>
          <w:lang w:val="id-ID"/>
        </w:rPr>
        <w:instrText>ADDIN CSL_CITATION {"citationItems":[{"id":"ITEM-1","itemData":{"author":[{"dropping-particle":"","family":"Pemerintah Republik Indonesia","given":"","non-dropping-particle":"","parse-names":false,"suffix":""}],"id":"ITEM-1","issued":{"date-parts":[["2012"]]},"publisher-place":"Indonesia","title":"Undang-Undang Nomor 11 Tahun 2012 tentang Sistem Peradilan Pidana Anak","type":"legislation"},"uris":["http://www.mendeley.com/documents/?uuid=001d1cd6-c5ca-4c01-9567-7ee5d0c25ccb"]}],"mendeley":{"formattedCitation":"(Undang-Undang Nomor 11 Tahun 2012 Tentang Sistem Peradilan Pidana Anak, 2012)","plainTextFormattedCitation":"(Undang-Undang Nomor 11 Tahun 2012 Tentang Sistem Peradilan Pidana Anak, 2012)","previouslyFormattedCitation":"(Undang-Undang Nomor 11 Tahun 2012 Tentang Sistem Peradilan Pidana Anak, 2012)"},"properties":{"noteIndex":0},"schema":"https://github.com/citation-style-language/schema/raw/master/csl-citation.json"}</w:instrText>
      </w:r>
      <w:r>
        <w:rPr>
          <w:lang w:val="id-ID"/>
        </w:rPr>
        <w:fldChar w:fldCharType="separate"/>
      </w:r>
      <w:r>
        <w:rPr>
          <w:lang w:val="id-ID"/>
        </w:rPr>
        <w:t>(Undang-Undang Nomor 11 Tahun 2012 Tentang Sistem Peradilan Pidana Anak, 2012)</w:t>
      </w:r>
      <w:r>
        <w:rPr>
          <w:lang w:val="id-ID"/>
        </w:rPr>
        <w:fldChar w:fldCharType="end"/>
      </w:r>
      <w:r>
        <w:rPr>
          <w:lang w:val="id-ID"/>
        </w:rPr>
        <w:t>. Keduanya memiliki tujuan untuk memasyarakatkan terpidana sehingga menjadi orang yang baik dan berguna. Pelaksanaan pidana pelayanan masyarakat kemudian didalami dalam penelitian ini guna menjadi gambaran bagi pelaksanaan pidana kerja sosial yang akan diterapkan.</w:t>
      </w:r>
    </w:p>
    <w:p w14:paraId="7CB94B83" w14:textId="77777777" w:rsidR="0067341E" w:rsidRDefault="00120FD9">
      <w:pPr>
        <w:pStyle w:val="Paragraph"/>
        <w:ind w:firstLine="720"/>
      </w:pPr>
      <w:r>
        <w:t xml:space="preserve">Pelaksanaan pidana pelayanan masyarakat menurut UU SPPA dijatuhkan paling singkat 7 (tujuh) jam dan paling lama 120 (seratus dua puluh) jam dan apabila tidak dilaksanakan seluruh atau sebagian tanpa alasana yang sah, hakim pengawas dapat memerintahkan untuk dilakukan pengulangan seluruh atau sebagian pidana yang dijatuhkan atas usul pejabat pembina. Pelaksanaan pidana tersebut dilakukan pada waktu siang hari untuk jangka waktu paling lama 3 (tiga) jam dalam 1 (satu) hari kerja dan tidak boleh mengganggu hak belajar Anak sesuai putusan pengadilan dengan memperhatikan kebutuhan, usia, minat dan bakat anak berdasarkan Pasal 16 Ayat (3) Peraturan Pemerintah Nomor 58 Tahun 2022 tentang Bentuk dan Tata Cara Pelaksanaan Pidana dan Tindakan Terhadap Anak </w:t>
      </w:r>
      <w:r>
        <w:fldChar w:fldCharType="begin" w:fldLock="1"/>
      </w:r>
      <w:r>
        <w:instrText>ADDIN CSL_CITATION {"citationItems":[{"id":"ITEM-1","itemData":{"author":[{"dropping-particle":"","family":"Pemerintah Republik Indonesia","given":"","non-dropping-particle":"","parse-names":false,"suffix":""}],"id":"ITEM-1","issued":{"date-parts":[["2022"]]},"publisher-place":"Indonesia","title":"Peraturan Pemerintah Nomor 58 Tahun 2022 tentang Bentuk dan Tata Cara Pelaksanaan Pidana dan Tindakan terhadap Anak","type":"legislation"},"uris":["http://www.mendeley.com/documents/?uuid=ad83bb05-6de6-4793-8e61-950b7426e79a"]}],"mendeley":{"formattedCitation":"(Peraturan Pemerintah Nomor 58 Tahun 2022 Tentang Bentuk Dan Tata Cara Pelaksanaan Pidana Dan Tindakan Terhadap Anak, 2022)","plainTextFormattedCitation":"(Peraturan Pemerintah Nomor 58 Tahun 2022 Tentang Bentuk Dan Tata Cara Pelaksanaan Pidana Dan Tindakan Terhadap Anak, 2022)","previouslyFormattedCitation":"(Peraturan Pemerintah Nomor 58 Tahun 2022 Tentang Bentuk Dan Tata Cara Pelaksanaan Pidana Dan Tindakan Terhadap Anak, 2022)"},"properties":{"noteIndex":0},"schema":"https://github.com/citation-style-language/schema/raw/master/csl-citation.json"}</w:instrText>
      </w:r>
      <w:r>
        <w:fldChar w:fldCharType="separate"/>
      </w:r>
      <w:r>
        <w:t>(Peraturan Pemerintah Nomor 58 Tahun 2022 Tentang Bentuk Dan Tata Cara Pelaksanaan Pidana Dan Tindakan Terhadap Anak, 2022)</w:t>
      </w:r>
      <w:r>
        <w:fldChar w:fldCharType="end"/>
      </w:r>
      <w:r>
        <w:t xml:space="preserve">. </w:t>
      </w:r>
    </w:p>
    <w:p w14:paraId="6B92DBC5" w14:textId="77777777" w:rsidR="0067341E" w:rsidRDefault="00120FD9">
      <w:pPr>
        <w:pStyle w:val="Paragraph"/>
        <w:ind w:firstLine="720"/>
      </w:pPr>
      <w:r>
        <w:t xml:space="preserve">Pengawasan terhadap pelaksanaan pidana kerja sosial dan pidana pelayanan masyarakat dilakukan oleh Penuntut Umum dan Pembimbing Kemasyarakatan. Pembimbing kemasyarakatan adalah pejabat fungsional yang melaksanakan penelitian kemasyarakatan, pembimbingan, pengawasan, dan pendampingan terhadap terpidana di dalam dan luat proses peradilan pidana. Berdasarkan Pasal 1 Angka 20 Undang-Undang Nomor 22 Tahun 2022 tentang Pemasyarakatan, lembaga yang melaksanakan tugas pembimbingan kemasyarakatan adalah balai pemasyarakatan </w:t>
      </w:r>
      <w:r>
        <w:fldChar w:fldCharType="begin" w:fldLock="1"/>
      </w:r>
      <w:r>
        <w:instrText>ADDIN CSL_CITATION {"citationItems":[{"id":"ITEM-1","itemData":{"author":[{"dropping-particle":"","family":"Pemerintah Republik Indonesia","given":"","non-dropping-particle":"","parse-names":false,"suffix":""}],"id":"ITEM-1","issued":{"date-parts":[["2022"]]},"publisher-place":"Indonesia","title":"Undang-Undang Nomor 22 Tahun 2022 tentang Pemasyarakatan","type":"legislation"},"uris":["http://www.mendeley.com/documents/?uuid=df32df95-ed0a-4f6f-835a-32f8eaa7cf3c"]}],"mendeley":{"formattedCitation":"(Undang-Undang Nomor 22 Tahun 2022 Tentang Pemasyarakatan, 2022)","plainTextFormattedCitation":"(Undang-Undang Nomor 22 Tahun 2022 Tentang Pemasyarakatan, 2022)","previouslyFormattedCitation":"(Undang-Undang Nomor 22 Tahun 2022 Tentang Pemasyarakatan, 2022)"},"properties":{"noteIndex":0},"schema":"https://github.com/citation-style-language/schema/raw/master/csl-citation.json"}</w:instrText>
      </w:r>
      <w:r>
        <w:fldChar w:fldCharType="separate"/>
      </w:r>
      <w:r>
        <w:t>(Undang-Undang Nomor 22 Tahun 2022 Tentang Pemasyarakatan, 2022)</w:t>
      </w:r>
      <w:r>
        <w:fldChar w:fldCharType="end"/>
      </w:r>
      <w:r>
        <w:t xml:space="preserve">. </w:t>
      </w:r>
    </w:p>
    <w:p w14:paraId="7C060614" w14:textId="77777777" w:rsidR="0067341E" w:rsidRDefault="0067341E">
      <w:pPr>
        <w:pStyle w:val="Paragraph"/>
        <w:ind w:firstLine="720"/>
      </w:pPr>
    </w:p>
    <w:p w14:paraId="0E2434AA" w14:textId="77777777" w:rsidR="0067341E" w:rsidRDefault="0067341E">
      <w:pPr>
        <w:pStyle w:val="Paragraph"/>
        <w:ind w:firstLine="720"/>
      </w:pPr>
    </w:p>
    <w:p w14:paraId="1E0519ED" w14:textId="77777777" w:rsidR="0067341E" w:rsidRDefault="00120FD9">
      <w:pPr>
        <w:pStyle w:val="Paragraph"/>
        <w:ind w:firstLine="720"/>
      </w:pPr>
      <w:r>
        <w:t>Selain itu, tugas Bapas adalah memberikan rekomendasi kepada hakim yang diperoleh dari hasil penelitian kemasyarakatan atas klien. Hal ini dikonfirmasi oleh Balai Pemasyarakatan Kelas I Kota Semarang (yang selanjutnya disebut sebagai Bapas Kota Semarang), namun berkaitan dengan pemberian rekomendasi dan pelaksanaan pidana pelayanan masyarakat belum pernah dilakukan. Pemberian rekomendasi tersebut pernah diberikan untuk pelaksanaan pidana pelatihan kerja.</w:t>
      </w:r>
    </w:p>
    <w:p w14:paraId="44C06D78" w14:textId="77777777" w:rsidR="0067341E" w:rsidRDefault="00120FD9">
      <w:pPr>
        <w:pStyle w:val="Paragraph"/>
        <w:ind w:firstLine="720"/>
      </w:pPr>
      <w:r>
        <w:t xml:space="preserve">Hasil wawancara bersama Bapak A, salah satu pegawai di Bapas Kota Semarang, dapat diketahui bahwa pada tahun 2024 terdapat 159 klien anak yang pernah didampingi Bapas, 16 di antaranya melakukan tindak pidana ringan sehingga belum sampai tahap persidangan </w:t>
      </w:r>
      <w:r>
        <w:fldChar w:fldCharType="begin" w:fldLock="1"/>
      </w:r>
      <w:r>
        <w:instrText>ADDIN CSL_CITATION {"citationItems":[{"id":"ITEM-1","itemData":{"author":[{"dropping-particle":"","family":"Tim Peneliti","given":"","non-dropping-particle":"","parse-names":false,"suffix":""}],"id":"ITEM-1","issued":{"date-parts":[["2024"]]},"title":"Hasil Wawancara dengan Pembimbing Kemasyarakatan di Balai Pemasyarakatan Kota Semarang pada tanggal 14 Oktober 2024","type":"article"},"uris":["http://www.mendeley.com/documents/?uuid=ec28cc82-3ec0-4b6a-a739-456cb83c1c4c"]}],"mendeley":{"formattedCitation":"(Tim Peneliti, 2024c)","plainTextFormattedCitation":"(Tim Peneliti, 2024c)","previouslyFormattedCitation":"(Tim Peneliti, 2024c)"},"properties":{"noteIndex":0},"schema":"https://github.com/citation-style-language/schema/raw/master/csl-citation.json"}</w:instrText>
      </w:r>
      <w:r>
        <w:fldChar w:fldCharType="separate"/>
      </w:r>
      <w:r>
        <w:t>(Tim Peneliti, 2024c)</w:t>
      </w:r>
      <w:r>
        <w:fldChar w:fldCharType="end"/>
      </w:r>
      <w:r>
        <w:t xml:space="preserve">. Klien dalam hal ini adalah seseorang yang berada dalam pembimbingan kemasyarakatan, baik itu orang dewasa maupun anak. Pembimbingan kemasyarakatan adalah kegiatan pendampingan klien di dalam dan luar proses peradilan pidana dengan tujuan salah satunya untuk mempersiapkan klien dalam reintegrasi sosial. Hingga November 2024, terdapat satu klien anak yang masih melakukan pidana pelatihan kerja. Anak-anak yang didampingi ini sebagian besar ditangkap karena 75% melakukan perkelahian menggunakan senjata tajam atau tawuran, 15% melanggar kesusilaan dan melakukan pencabulan, dan 10% terlibat dalam penyalahgunaan narkoba, pencurian, dan tindak pidana lainnya. Rekomendasi diberikan pada tahap diversi dan ketika pembacaan surat dakwaan yang diperoleh dari hasil penelitian kemasyarakatan yang dilakukan oleh intelijen pemasyarakatan. </w:t>
      </w:r>
    </w:p>
    <w:p w14:paraId="25345C4D" w14:textId="77777777" w:rsidR="0067341E" w:rsidRDefault="00120FD9">
      <w:pPr>
        <w:pStyle w:val="Paragraph"/>
        <w:ind w:firstLine="720"/>
      </w:pPr>
      <w:r>
        <w:t xml:space="preserve">Penelitian dilakukan di lingkungan sekitar pelaku, mendatangi klien, sekolah, rumah dan lingkungan keluarga, mendatangi lingkungan tempat ia tinggal dengan meminta keterangan tetangga untuk mengetahui kebiasaan klien dan faktor klien melakukan hal-hal yang membuat keadaannya saat ini harus dilakukan pembimbingan oleh pembimbing kemasyarakatan menggunakan </w:t>
      </w:r>
      <w:r>
        <w:rPr>
          <w:i/>
          <w:iCs/>
        </w:rPr>
        <w:t>assessment</w:t>
      </w:r>
      <w:r>
        <w:t xml:space="preserve"> yang ada. Rekomendasi yang diberikan Bapas pada hakim berkaitan dengan pidana atau diversi apa yang akan dijatuhkan dan tempat pelaksanaan pidana agar pidana dapat benar-benar berjalan dengan berdasar pada prinsip kepentingan terbaik bagi anak </w:t>
      </w:r>
      <w:r>
        <w:fldChar w:fldCharType="begin" w:fldLock="1"/>
      </w:r>
      <w:r>
        <w:instrText>ADDIN CSL_CITATION {"citationItems":[{"id":"ITEM-1","itemData":{"abstract":"The tendency of judges in imposing sanctions against children who commit criminal acts is still dominant in imposing criminal sanctions, especially imprisonment. This is evidenced by the discovery of data on child cases in the jurisdiction of the Sungguminasa District Court and the Makassar District Court, which in their decisions still tend to impose criminal sanctions. 2) Constraints in the application of criminal sanctions as a last resort for children who commit crimes, namely legal factors, community factors, and facilities / facilities","author":[{"dropping-particle":"","family":"Wahyuni","given":"Wahyuni","non-dropping-particle":"","parse-names":false,"suffix":""}],"container-title":"Jurisprudentie","id":"ITEM-1","issue":"1","issued":{"date-parts":[["2021"]]},"page":"124-145","title":"Penerapan Sanksi Pidana Sebagai Pilihan Terakhir Terhadap Anak yang Melakukan Tindak Pidana","type":"article-journal","volume":"8"},"uris":["http://www.mendeley.com/documents/?uuid=ee90e265-88f1-4431-b50c-f7c54588daf5"]}],"mendeley":{"formattedCitation":"(Wahyuni, 2021)","plainTextFormattedCitation":"(Wahyuni, 2021)","previouslyFormattedCitation":"(Wahyuni, 2021)"},"properties":{"noteIndex":0},"schema":"https://github.com/citation-style-language/schema/raw/master/csl-citation.json"}</w:instrText>
      </w:r>
      <w:r>
        <w:fldChar w:fldCharType="separate"/>
      </w:r>
      <w:r>
        <w:t>(Wahyuni, 2021)</w:t>
      </w:r>
      <w:r>
        <w:fldChar w:fldCharType="end"/>
      </w:r>
      <w:r>
        <w:t xml:space="preserve">. Misalnya, tempat pelaksanaan untuk pidana pelayanan masyarakat dapat dilakukan di tempat yang paling dekat dengan rumah klien yang sebelumnya harus dilaksanakan perjanjian terlebih dahulu antara tempat tersebut dengan Bapas dan dilaksanakan koordinasi mengenai pelaksanaan pidana. Beberapa rekomendasi ditujukan pada klien untuk melaksanakan pidana pelayanan masyarakat dan pelatihan kerja di Sentra Antasena Magelang. Waktu pelaksanaan pidana yang direkomendasikan juga disesuaikan dengan jadwal klien, dimana klien juga memiliki hak supaya pendidikannya tidak terganggu. Tidak semua klien yang akan dijatuhkan pidana direkomendasikan untuk dijatuhkan pidana pelayanan masyarakat maupun pidana pelatihan kerja. Hal ini bergantung kepada hasil penelitian intelijen pemasyarakatan dan tindak pidana yang dilakukan. Pengawasan dan pembinaan kemasyarakatan yang dilakukan oleh Bapas dilakukan secara berkala. Kunjungan dadakan terkadang dilakukan untuk memastikan pelaksanaan pidana. Apabila saat pengawasan, ditemukan bahwa klien tidak melakukan pidana yang dijatuhkan, baik itu pelayanan masyarakat maupun pelatihan kerja, klien akan dikembalikan ke LPKA mengingat kedua pidana tersebut dilaksanakan setelah pelaksanaan pidana penjara. Pidana pelatihan kerja yang dilaksanakan oleh klien bimbingan Bapas Kota Semarang dirasa cukup efektif karena menurut pembimbing kemasyarakatan Bapas dari 143 klien yang dilakukan pembimbingan kemasyarakatan hingga tahap persidangan dan dikenakan pidana pelatihan kerja, tidak melakukan </w:t>
      </w:r>
      <w:r>
        <w:rPr>
          <w:i/>
          <w:iCs/>
        </w:rPr>
        <w:t>recidive</w:t>
      </w:r>
      <w:r>
        <w:t xml:space="preserve"> atau mengulang tindak pidana kembali.</w:t>
      </w:r>
    </w:p>
    <w:p w14:paraId="64C5C94A" w14:textId="77777777" w:rsidR="0067341E" w:rsidRDefault="00120FD9">
      <w:pPr>
        <w:pStyle w:val="Paragraph"/>
        <w:ind w:firstLine="720"/>
      </w:pPr>
      <w:r>
        <w:t>Persiapan awal guna pelaksanaan pidana kerja sosial di Bapas Kota Semarang dilakukan melalui diskusi dengan negara lain yang memiliki pengalaman panjang dalam pelaksanaan pidana kerja sosial. Salah satu negara yang menjadi rujukan adalah Belanda, yang telah menerapkan pidana kerja sosial selama lebih dari 50 tahun. Perwakilan Bapas Semarang mendalami berbagai aspek teknis pelaksanaan, mulai dari jenis pekerjaan yang dilakukan oleh pelaku, mekanisme pengawasan, hingga sistem evaluasi yang diterapkan di negara tersebut. Selain Belanda, diskusi juga dilakukan dengan Prancis, yang memiliki pengalaman dalam menerapkan kebijakan rehabilitasi berbasis kerja sosial. Bapas Semarang mendapatkan banyak masukan dari diskusi ini yang dapat diadaptasi untuk pelaksanaan di Indonesia, terutama dalam hal pengelolaan kerja sosial yang berfokus pada rehabilitasi dan manfaat bagi masyarakat.</w:t>
      </w:r>
    </w:p>
    <w:p w14:paraId="12C81B7D" w14:textId="77777777" w:rsidR="0067341E" w:rsidRDefault="0067341E">
      <w:pPr>
        <w:pStyle w:val="Paragraph"/>
        <w:ind w:firstLine="720"/>
      </w:pPr>
    </w:p>
    <w:p w14:paraId="21D34AB3" w14:textId="77777777" w:rsidR="0067341E" w:rsidRDefault="0067341E">
      <w:pPr>
        <w:pStyle w:val="Paragraph"/>
        <w:ind w:firstLine="720"/>
      </w:pPr>
    </w:p>
    <w:p w14:paraId="41E58906" w14:textId="77777777" w:rsidR="0067341E" w:rsidRDefault="0067341E">
      <w:pPr>
        <w:pStyle w:val="Paragraph"/>
        <w:ind w:firstLine="720"/>
      </w:pPr>
    </w:p>
    <w:p w14:paraId="1DC67669" w14:textId="77777777" w:rsidR="0067341E" w:rsidRDefault="0067341E">
      <w:pPr>
        <w:pStyle w:val="Paragraph"/>
        <w:ind w:firstLine="720"/>
      </w:pPr>
    </w:p>
    <w:p w14:paraId="61B95BB4" w14:textId="77777777" w:rsidR="0067341E" w:rsidRDefault="0067341E">
      <w:pPr>
        <w:pStyle w:val="Paragraph"/>
        <w:ind w:firstLine="720"/>
      </w:pPr>
    </w:p>
    <w:p w14:paraId="1F00061F" w14:textId="77777777" w:rsidR="0067341E" w:rsidRDefault="0067341E">
      <w:pPr>
        <w:pStyle w:val="Paragraph"/>
        <w:ind w:firstLine="720"/>
      </w:pPr>
    </w:p>
    <w:p w14:paraId="5EF7A528" w14:textId="77777777" w:rsidR="0067341E" w:rsidRDefault="00120FD9">
      <w:pPr>
        <w:pStyle w:val="Paragraph"/>
        <w:ind w:firstLine="720"/>
      </w:pPr>
      <w:r>
        <w:t xml:space="preserve">Sesuai dengan yang telah disampaikan oleh Bapas Semarang, Kejaksaan Negeri Kota Semarang juga menyampaikan hal yang serupa. Salah satu fungsi pengawasan dalam pelaksanaan pidana pelayanan masyarakat bagi klien anak dan pidana kerja sosial yang akan diterapkan dilaksanakan oleh Penuntut Umum dalam hal ini adalah jaksa. Berdasarkan keterangan yang diperoleh dari narasumber, hingga tahun 2024 penuntut umum dari Kejaksaan Negeri Kota Semarang belum pernah melakukan pengawasan terhadap pelaksanaan pidana pelayanan masyarakat yang dijatuhkan pada pelaku anak </w:t>
      </w:r>
      <w:r>
        <w:fldChar w:fldCharType="begin" w:fldLock="1"/>
      </w:r>
      <w:r>
        <w:instrText>ADDIN CSL_CITATION {"citationItems":[{"id":"ITEM-1","itemData":{"author":[{"dropping-particle":"","family":"Tim Peneliti","given":"","non-dropping-particle":"","parse-names":false,"suffix":""}],"id":"ITEM-1","issued":{"date-parts":[["2024"]]},"title":"Hasil Wawancara dengan Jaksa di Kejaksaan Negeri Kota Semarang secara Daring pada tanggal 30 Oktober 2024","type":"article"},"uris":["http://www.mendeley.com/documents/?uuid=d00c40ae-01b2-47cc-b4ac-ae49347460ac"]}],"mendeley":{"formattedCitation":"(Tim Peneliti, 2024b)","plainTextFormattedCitation":"(Tim Peneliti, 2024b)","previouslyFormattedCitation":"(Tim Peneliti, 2024b)"},"properties":{"noteIndex":0},"schema":"https://github.com/citation-style-language/schema/raw/master/csl-citation.json"}</w:instrText>
      </w:r>
      <w:r>
        <w:fldChar w:fldCharType="separate"/>
      </w:r>
      <w:r>
        <w:t>(Tim Peneliti, 2024b)</w:t>
      </w:r>
      <w:r>
        <w:fldChar w:fldCharType="end"/>
      </w:r>
      <w:r>
        <w:t xml:space="preserve">. Narasumber menambahkan bahwa berkaitan dengan pelaksanaan tugas jaksa sebagai penuntut umum dalam SPPA, sebagian besar penyelesaian pidana anak diupayakan dilakukan melalui diversi, upaya lanjutannya adalah melalui penuntutan pidana dengan syarat berupa pengawasan, dan pidana penjara sebagai </w:t>
      </w:r>
      <w:r>
        <w:rPr>
          <w:i/>
          <w:iCs/>
        </w:rPr>
        <w:t>ultimum remidium</w:t>
      </w:r>
      <w:r>
        <w:t xml:space="preserve"> atau upaya terakhir.</w:t>
      </w:r>
    </w:p>
    <w:p w14:paraId="5D87DDD3" w14:textId="77777777" w:rsidR="0067341E" w:rsidRDefault="00120FD9">
      <w:pPr>
        <w:pStyle w:val="Paragraph"/>
        <w:ind w:firstLine="720"/>
      </w:pPr>
      <w:r>
        <w:t xml:space="preserve">Pelaksanaan pidana kerja sosial yang dilakukan menggunakan tata cara yang sesuai dengan pelaksanaan pidana pelayanan masyarakat yang telah diterapkan pada klien anak membutuhkan peran Bapas dan Jaksa baik sebelum penjatuhan putusan maupun setelahnya. Sebelum penjatuhan putusan, Jaksa selaku Penuntut Umum beserta Pembimbing Kemasyarakatan wajib menggali informasi berkaitan dengan keadaan pribadi tersangka guna kepentingan pemidanaan yang dapat dilakukan melalui penelitian masyarakat. Apabila putusan telah dijatuhkan, Jaksa Eksekutor dan Pembimbing Kemasyarakatan selaku pengawas wajib melakukan pengamatan mengenai kegiatan terpidana selama melakukan kewajiban kerja sosial, apakah telah menjalankan pidana sesuai putusan atau tidak, dan bagaimana perkembangan diri terpidana. Oleh karena itu, diperlukan pengaturan yang jelas mengenai koordinasi antara Kejaksaan dan Bapas serta sarana dan prasarana yang sesuai dengan standar yang ditetapkan, misalnya lembaga-lembaga sosial yang menjadi tempat pidana kerja sosial dilaksanakan </w:t>
      </w:r>
      <w:r>
        <w:fldChar w:fldCharType="begin" w:fldLock="1"/>
      </w:r>
      <w:r>
        <w:instrText>ADDIN CSL_CITATION {"citationItems":[{"id":"ITEM-1","itemData":{"author":[{"dropping-particle":"","family":"Abdullah","given":"Ove Syaifudin","non-dropping-particle":"","parse-names":false,"suffix":""}],"id":"ITEM-1","issued":{"date-parts":[["2024"]]},"publisher":"Institute for Criminal Justice Reform","publisher-place":"Jakarta Selatan","title":"Orientasi Implementasi Pidana Kerja Sosial sebagai Alternatif Pidana Non-Pemenjaraan dalam KUHP 2023","type":"book"},"uris":["http://www.mendeley.com/documents/?uuid=6b7d1269-7c62-43e9-8f6f-b938227475e8"]}],"mendeley":{"formattedCitation":"(Abdullah, 2024)","plainTextFormattedCitation":"(Abdullah, 2024)","previouslyFormattedCitation":"(Abdullah, 2024)"},"properties":{"noteIndex":0},"schema":"https://github.com/citation-style-language/schema/raw/master/csl-citation.json"}</w:instrText>
      </w:r>
      <w:r>
        <w:fldChar w:fldCharType="separate"/>
      </w:r>
      <w:r>
        <w:t>(Abdullah, 2024)</w:t>
      </w:r>
      <w:r>
        <w:fldChar w:fldCharType="end"/>
      </w:r>
      <w:r>
        <w:t>.</w:t>
      </w:r>
    </w:p>
    <w:p w14:paraId="4055CFE1" w14:textId="77777777" w:rsidR="0067341E" w:rsidRDefault="00120FD9">
      <w:pPr>
        <w:pStyle w:val="Paragraph"/>
        <w:ind w:firstLine="720"/>
      </w:pPr>
      <w:r>
        <w:t xml:space="preserve">Pelaksanaan pidana kerja sosial dan pelayanan masyarakat tidak lepas dari peran pengadilan dimana putusan dijatuhkan. Penjatuhan putusan pidana kerja sosial maupun pelayanan masyarakat membutuhkan pertimbangan yang salah satunya berasal dari rekomendasi yang dibuat oleh pembimbing kemasyarakatan. Rekomendasi yang diberikan oleh pembimbing kemasyarakatan kepada hakim diberikan pada saat diversi atau ketika sebelum melakukan tahap persidangan dengan tujuan untuk mencapai keadilan restoratif dan ketika dalam persidangan apabila diversi tidak mencapai titik temu setelah pembacaan surat dakwaan </w:t>
      </w:r>
      <w:r>
        <w:fldChar w:fldCharType="begin" w:fldLock="1"/>
      </w:r>
      <w:r>
        <w:instrText>ADDIN CSL_CITATION {"citationItems":[{"id":"ITEM-1","itemData":{"ISSN":"2622-7045","author":[{"dropping-particle":"","family":"Kurniasi","given":"Ririn","non-dropping-particle":"","parse-names":false,"suffix":""}],"container-title":"UNES Law Review","id":"ITEM-1","issue":"4","issued":{"date-parts":[["2024"]]},"page":"10821-10828","title":"Penerapan Restorative Justice Terhadap Anak yang Menjadi Pelaku Tindak Pidana Melalui Diversi","type":"article-journal","volume":"6"},"uris":["http://www.mendeley.com/documents/?uuid=df761b78-dd63-4b13-9c7f-45173c0583e3"]}],"mendeley":{"formattedCitation":"(Kurniasi, 2024)","plainTextFormattedCitation":"(Kurniasi, 2024)","previouslyFormattedCitation":"(Kurniasi, 2024)"},"properties":{"noteIndex":0},"schema":"https://github.com/citation-style-language/schema/raw/master/csl-citation.json"}</w:instrText>
      </w:r>
      <w:r>
        <w:fldChar w:fldCharType="separate"/>
      </w:r>
      <w:r>
        <w:t>(Kurniasi, 2024)</w:t>
      </w:r>
      <w:r>
        <w:fldChar w:fldCharType="end"/>
      </w:r>
      <w:r>
        <w:t xml:space="preserve">. Rekomendasi tersebut menjadi salah satu bahan pertimbangan hakim dalam memutus. Pertimbangan hakim dapat dibagi menjadi dua, yaitu pertimbangan yuridis dan pertimbangan non-yuridis </w:t>
      </w:r>
      <w:r>
        <w:fldChar w:fldCharType="begin" w:fldLock="1"/>
      </w:r>
      <w:r>
        <w:instrText>ADDIN CSL_CITATION {"citationItems":[{"id":"ITEM-1","itemData":{"ISBN":"9794149527","author":[{"dropping-particle":"","family":"Muhammad","given":"Rusli","non-dropping-particle":"","parse-names":false,"suffix":""}],"id":"ITEM-1","issued":{"date-parts":[["2007"]]},"number-of-pages":"212-221","publisher":"PT. Citra Aditya Bakti","publisher-place":"Jakarta","title":"Hukum Acara Pidana Kontemporer","type":"book"},"uris":["http://www.mendeley.com/documents/?uuid=29f0a590-05ad-4e23-8e72-1286a1d5d015"]}],"mendeley":{"formattedCitation":"(Muhammad, 2007)","plainTextFormattedCitation":"(Muhammad, 2007)","previouslyFormattedCitation":"(Muhammad, 2007)"},"properties":{"noteIndex":0},"schema":"https://github.com/citation-style-language/schema/raw/master/csl-citation.json"}</w:instrText>
      </w:r>
      <w:r>
        <w:fldChar w:fldCharType="separate"/>
      </w:r>
      <w:r>
        <w:t>(Muhammad, 2007)</w:t>
      </w:r>
      <w:r>
        <w:fldChar w:fldCharType="end"/>
      </w:r>
      <w:r>
        <w:t xml:space="preserve">. Pertimbangan yuridis adalah pertimbangan yang berdasar kepada fakta yuridis yang ada dalam persidangan dan oleh undang-undang ditegaskan sebagai hal yang harus ada dalam putusan seperti dakwaan penuntut umum, keterangan saksi, barang bukti, dan peraturan hukum pidana. Pertimbangan non-yuridis adalah pertimbangan yang berdasar pada latar belakang, akibat, dan kondisi terdakwa. Terdapat beberapa faktor yang dapat meringankan maupun memberatkan pidana </w:t>
      </w:r>
      <w:r>
        <w:fldChar w:fldCharType="begin" w:fldLock="1"/>
      </w:r>
      <w:r>
        <w:instrText>ADDIN CSL_CITATION {"citationItems":[{"id":"ITEM-1","itemData":{"ISBN":"979876742X","author":[{"dropping-particle":"","family":"Waluyo","given":"Bambang","non-dropping-particle":"","parse-names":false,"suffix":""}],"id":"ITEM-1","issued":{"date-parts":[["2000"]]},"publisher":"Sinar Grafika","publisher-place":"Jakarta","title":"Pidana dan Pemidanaan","type":"book"},"uris":["http://www.mendeley.com/documents/?uuid=f70ef0a6-fca8-40cf-978d-13755e90862f"]}],"mendeley":{"formattedCitation":"(Waluyo, 2000)","plainTextFormattedCitation":"(Waluyo, 2000)","previouslyFormattedCitation":"(Waluyo, 2000)"},"properties":{"noteIndex":0},"schema":"https://github.com/citation-style-language/schema/raw/master/csl-citation.json"}</w:instrText>
      </w:r>
      <w:r>
        <w:fldChar w:fldCharType="separate"/>
      </w:r>
      <w:r>
        <w:t>(Waluyo, 2000)</w:t>
      </w:r>
      <w:r>
        <w:fldChar w:fldCharType="end"/>
      </w:r>
      <w:r>
        <w:t>. Faktor yang dapat meringankan contohnya seperti pengakuan perbuatan, perilaku sopan, dan baru sekali melakukan tindak pidana. Faktor yang dapat memperberat contohnya seperti pemberian keterangan yang berbelit-belit, tidak adanya pengakuan atas perbuatan, meresahkan masyarakat, merugikan negara, dan sebagainya.</w:t>
      </w:r>
    </w:p>
    <w:p w14:paraId="3714B79E" w14:textId="77777777" w:rsidR="0067341E" w:rsidRDefault="00120FD9">
      <w:pPr>
        <w:pStyle w:val="Paragraph"/>
        <w:ind w:firstLine="720"/>
      </w:pPr>
      <w:r>
        <w:t xml:space="preserve">Berdasarkan hasil wawancara yang dilakukan di Pengadilan Negeri Kota Semarang bersama Yang Mulia Bapak R, salah satu hakim yang bertugas di sana, hakim yang bersangkutan belum pernah memutus pidana pelayanan masyarakat hingga November 2024 </w:t>
      </w:r>
      <w:r>
        <w:fldChar w:fldCharType="begin" w:fldLock="1"/>
      </w:r>
      <w:r>
        <w:instrText>ADDIN CSL_CITATION {"citationItems":[{"id":"ITEM-1","itemData":{"author":[{"dropping-particle":"","family":"Tim Peneliti","given":"","non-dropping-particle":"","parse-names":false,"suffix":""}],"id":"ITEM-1","issued":{"date-parts":[["2024"]]},"title":"Hasil Wawancara dengan Hakim di Pengadilan Negeri Kota Semarang pada tanggal 18 Oktober 2024","type":"article"},"uris":["http://www.mendeley.com/documents/?uuid=d3569515-34e8-432e-8fe4-afa7262f00d0"]}],"mendeley":{"formattedCitation":"(Tim Peneliti, 2024a)","plainTextFormattedCitation":"(Tim Peneliti, 2024a)","previouslyFormattedCitation":"(Tim Peneliti, 2024a)"},"properties":{"noteIndex":0},"schema":"https://github.com/citation-style-language/schema/raw/master/csl-citation.json"}</w:instrText>
      </w:r>
      <w:r>
        <w:fldChar w:fldCharType="separate"/>
      </w:r>
      <w:r>
        <w:t>(Tim Peneliti, 2024a)</w:t>
      </w:r>
      <w:r>
        <w:fldChar w:fldCharType="end"/>
      </w:r>
      <w:r>
        <w:t xml:space="preserve">. Anak yang berkonflik dengan hukum selama ini sebagian besar dikembalikan ke orang tua dalam langkah diversi, dimasukkan ke pesantren, dan ditempatkan di balai latihan kerja untuk melaksanakan pelatihan kerja. Pengawasan juga dilakukan untuk memastikan pelaksanaan pidana yang dilakukan oleh pengawas muda untuk mengawasi apakah pelaksanaan sudah berjalan sesuai dengan putusan dan hak-hak klien diberikan. Narasumber mengungkapkan bahwa mereka hanya memutuskan perkara dan memiliki kewenangan untuk menjatuhkan pidana kerja sosial jika peraturan pelaksanaan sudah ditetapkan. Namun mengenai kesiapan pelaksanaannya belum ada karena masih memerlukan peraturan yang jelas tentang mekanisme pidana kerja sosial dari </w:t>
      </w:r>
      <w:r>
        <w:lastRenderedPageBreak/>
        <w:t>Kementerian Hukum dan HAM yang sekarang dipecah menjadi tiga kementerian. Pelaksanaannya sulit karena peraturan pelaksana belum ditentukan dan eksekutornya belum memadai.</w:t>
      </w:r>
    </w:p>
    <w:p w14:paraId="30D4E9D0" w14:textId="77777777" w:rsidR="0067341E" w:rsidRDefault="0067341E">
      <w:pPr>
        <w:pStyle w:val="Paragraph"/>
        <w:ind w:firstLine="720"/>
      </w:pPr>
    </w:p>
    <w:p w14:paraId="731A99FD" w14:textId="77777777" w:rsidR="0067341E" w:rsidRDefault="0067341E">
      <w:pPr>
        <w:pStyle w:val="Paragraph"/>
        <w:ind w:firstLine="720"/>
      </w:pPr>
    </w:p>
    <w:p w14:paraId="5E927F69" w14:textId="77777777" w:rsidR="0067341E" w:rsidRDefault="0067341E">
      <w:pPr>
        <w:pStyle w:val="Paragraph"/>
        <w:ind w:firstLine="720"/>
      </w:pPr>
    </w:p>
    <w:p w14:paraId="352ECCC4" w14:textId="77777777" w:rsidR="0067341E" w:rsidRDefault="0067341E">
      <w:pPr>
        <w:pStyle w:val="Paragraph"/>
        <w:ind w:firstLine="720"/>
      </w:pPr>
    </w:p>
    <w:p w14:paraId="5F724B13" w14:textId="77777777" w:rsidR="0067341E" w:rsidRDefault="00120FD9">
      <w:pPr>
        <w:pStyle w:val="Paragraph"/>
        <w:ind w:firstLine="720"/>
      </w:pPr>
      <w:r>
        <w:t xml:space="preserve"> Di Semarang, jarang ada penjatuhan pidana pelayanan masyarakat. Perlu ada kerja sama dengan instansi tujuan untuk memastikan terpidana benar-benar melakukan pekerjaan pelayanan masyarakat. Pidana kerja sosial dapat mengurangi </w:t>
      </w:r>
      <w:r>
        <w:rPr>
          <w:i/>
          <w:iCs/>
        </w:rPr>
        <w:t>over capacity</w:t>
      </w:r>
      <w:r>
        <w:t xml:space="preserve"> di penjara, tergantung pada jumlah perkara yang diputus dengan sanksi ini. Hakim berusaha menggunakan prinsip “</w:t>
      </w:r>
      <w:r>
        <w:rPr>
          <w:i/>
          <w:iCs/>
        </w:rPr>
        <w:t>greatest goods for greatest number</w:t>
      </w:r>
      <w:r>
        <w:t>” dalam memutus perkara. Tantangan utama adalah memastikan terpidana benar-benar melaksanakan kewajibannya menurut narasumber. Pengaturan mengenai cara, waktu, dan kriteria pengawas perlu dibuat agar pidana kerja sosial berjalan maksimal. Narasumber menyatakan bahwa pengawasan terhadap pelaksanaan pidana kerja sosial akan dilakukan. Pengawasan dari pengadilan biasanya hanya untuk orang yang sudah keluar penjara. Untuk pelayanan masyarakat, belum ada pelaksanaan yang jelas. Pengawasan ini penting untuk memastikan hak-hak terpidana tetap terpenuhi dan untuk mencegah potensi penyalahgunaan, seperti penyuapan antara terpidana dan pengawas.</w:t>
      </w:r>
    </w:p>
    <w:p w14:paraId="3EB709DE" w14:textId="77777777" w:rsidR="0067341E" w:rsidRDefault="00120FD9">
      <w:pPr>
        <w:pStyle w:val="Paragraph"/>
        <w:ind w:firstLine="720"/>
      </w:pPr>
      <w:r>
        <w:t>Konfirmasi atas pernyataan tersebut dilakukan pada Kantor Wilayah Kementerian Hukum dan HAM (Kanwil Kemenkumham) yang sekarang dipecah menjadi tiga bagian yaitu Kementerian Hukum, Kementerian Hak Asasi Manusia, dan Kementerian Imigrasi dan Kemasyarakatan. Berdasarkan hasil wawancara yang dilaksanakan bersama Kanwil ditemukan bahwa hingga saat ini, Kanwil belum memiliki kesiapan yang memadai dalam mendukung implementasi pidana kerja sosial, hal ini disebabkan oleh beberapa faktor, antara lain:</w:t>
      </w:r>
    </w:p>
    <w:p w14:paraId="0F026E0E" w14:textId="77777777" w:rsidR="0067341E" w:rsidRDefault="00120FD9">
      <w:pPr>
        <w:pStyle w:val="Paragraph"/>
        <w:numPr>
          <w:ilvl w:val="0"/>
          <w:numId w:val="1"/>
        </w:numPr>
      </w:pPr>
      <w:r>
        <w:t>Belum ada arahan khusus dari pemerintah pusat mengenai panduan teknis pelaksanaan pidana kerja sosial;</w:t>
      </w:r>
    </w:p>
    <w:p w14:paraId="6B44D1D8" w14:textId="77777777" w:rsidR="0067341E" w:rsidRDefault="00120FD9">
      <w:pPr>
        <w:pStyle w:val="Paragraph"/>
        <w:numPr>
          <w:ilvl w:val="0"/>
          <w:numId w:val="1"/>
        </w:numPr>
      </w:pPr>
      <w:r>
        <w:t>Pergantian kepemimpinan dalam pemerintahan Indonesia membuat prioritas kebijakan berbeda pula. Hal ini menyebabkan timbulnya ketidakpastian;</w:t>
      </w:r>
    </w:p>
    <w:p w14:paraId="4A33459A" w14:textId="77777777" w:rsidR="0067341E" w:rsidRDefault="00120FD9">
      <w:pPr>
        <w:pStyle w:val="Paragraph"/>
        <w:numPr>
          <w:ilvl w:val="0"/>
          <w:numId w:val="1"/>
        </w:numPr>
      </w:pPr>
      <w:r>
        <w:t>Adanya restrukturisasi kementerian menjadi tiga bagian, yaitu Kementerian Hukum, Kementerian Hak Asasi Manusia, dan Kementerian Imigrasi dan Kemasyarakatan. Proses penyesuaian yang memakan waktu dan sumber daya menyebabkan persiapan pidana kerja sosial belum menjadi fokus utama;</w:t>
      </w:r>
    </w:p>
    <w:p w14:paraId="2C0201A2" w14:textId="77777777" w:rsidR="0067341E" w:rsidRDefault="00120FD9">
      <w:pPr>
        <w:pStyle w:val="Paragraph"/>
        <w:ind w:firstLine="720"/>
      </w:pPr>
      <w:r>
        <w:t xml:space="preserve">Meskipun menghadapi berbagai tantangan, narasumber Kanwil Kemenkumham Jawa Tengah menyatakan memahami teknis pelaksanaan pidana kerja sosial, terutama melalui pengalaman mengelola program serupa seperti pelayanan masyarakat untuk anak dan berencana mengadopsi model yang melibatkan asesmen awal, pengawasan selama pelaksanaan, dan evaluasi pascapelaksanaan </w:t>
      </w:r>
      <w:r>
        <w:fldChar w:fldCharType="begin" w:fldLock="1"/>
      </w:r>
      <w:r>
        <w:instrText>ADDIN CSL_CITATION {"citationItems":[{"id":"ITEM-1","itemData":{"author":[{"dropping-particle":"","family":"Tim Peneliti","given":"","non-dropping-particle":"","parse-names":false,"suffix":""}],"id":"ITEM-1","issued":{"date-parts":[["2024"]]},"title":"Hasil Wawancara di Kanwil Kemenkumham Jateng pada tanggal 18 November 2024","type":"article"},"uris":["http://www.mendeley.com/documents/?uuid=484bf10c-6861-4fb2-8b6d-ab908866cf53"]}],"mendeley":{"formattedCitation":"(Tim Peneliti, 2024d)","plainTextFormattedCitation":"(Tim Peneliti, 2024d)"},"properties":{"noteIndex":0},"schema":"https://github.com/citation-style-language/schema/raw/master/csl-citation.json"}</w:instrText>
      </w:r>
      <w:r>
        <w:fldChar w:fldCharType="separate"/>
      </w:r>
      <w:r>
        <w:t>(Tim Peneliti, 2024d)</w:t>
      </w:r>
      <w:r>
        <w:fldChar w:fldCharType="end"/>
      </w:r>
      <w:r>
        <w:t>. Selain itu, narasumber juga menyebutkan bahwa Kanwil sedang mengembangkan aplikasi digital yang dapat menghubungkan berbagai lembaga terkait, seperti Balai Pemasyarakatan (Bapas) dan Dinas Sosial. Aplikasi ini dirancang untuk mempermudah koordinasi dan monitoring pelaksanaan pidana kerja sosial di seluruh Indonesia. Aplikasi ini hanya dapat diakses oleh lembaga-lembaga terkait, sehingga memungkinkan pengawasan yang lebih terintegrasi dan efisien.</w:t>
      </w:r>
    </w:p>
    <w:p w14:paraId="640571C6" w14:textId="77777777" w:rsidR="0067341E" w:rsidRDefault="00120FD9">
      <w:pPr>
        <w:pStyle w:val="Paragraph"/>
        <w:ind w:firstLine="720"/>
      </w:pPr>
      <w:r>
        <w:t xml:space="preserve">Tidak ada rujukan memadai mengenai pelaksanaan pidana kerja sosial dalam sistem peradilan pidana. Hal itu tetap dibutuhkan walau pelaksanaan pidana murni didasarkan pada putusan pengadilan. Minimnya dukungan dalam hal penganggaran untuk mendukung dan menyediakan layanan rehabilitasi dan reintegrasi sosial </w:t>
      </w:r>
      <w:r>
        <w:rPr>
          <w:rStyle w:val="FootnoteReference"/>
        </w:rPr>
        <w:fldChar w:fldCharType="begin" w:fldLock="1"/>
      </w:r>
      <w:r>
        <w:instrText>ADDIN CSL_CITATION {"citationItems":[{"id":"ITEM-1","itemData":{"author":[{"dropping-particle":"","family":"Tieken","given":"Shaila","non-dropping-particle":"","parse-names":false,"suffix":""},{"dropping-particle":"","family":"Sahputra","given":"Feri","non-dropping-particle":"","parse-names":false,"suffix":""},{"dropping-particle":"","family":"Amanda","given":"Putri Kusuma","non-dropping-particle":"","parse-names":false,"suffix":""},{"dropping-particle":"","family":"Kusumaningrum","given":"Santi","non-dropping-particle":"","parse-names":false,"suffix":""}],"id":"ITEM-1","issued":{"date-parts":[["2020"]]},"number-of-pages":"14","title":"Kesempatan Kedua dalam Hidup: Memulihkan Kesempatan bagi Anak dalam Sistem Peradilan Pidana di Indonesia","type":"report"},"uris":["http://www.mendeley.com/documents/?uuid=97f9cdd9-5390-4cd0-9a68-579b0d43d4a9"]}],"mendeley":{"formattedCitation":"(Tieken et al., 2020)","plainTextFormattedCitation":"(Tieken et al., 2020)","previouslyFormattedCitation":"(Tieken et al., 2020)"},"properties":{"noteIndex":0},"schema":"https://github.com/citation-style-language/schema/raw/master/csl-citation.json"}</w:instrText>
      </w:r>
      <w:r>
        <w:rPr>
          <w:rStyle w:val="FootnoteReference"/>
        </w:rPr>
        <w:fldChar w:fldCharType="separate"/>
      </w:r>
      <w:r>
        <w:t>(Tieken et al., 2020)</w:t>
      </w:r>
      <w:r>
        <w:rPr>
          <w:rStyle w:val="FootnoteReference"/>
        </w:rPr>
        <w:fldChar w:fldCharType="end"/>
      </w:r>
      <w:r>
        <w:t xml:space="preserve">. Hakim harus memperhatikan beberapa hal dalam menjatuhkan putusan pidana kerja sosial seperti hasil penelitian yang telah dilakukan oleh Bapas dan mempertimbangkan putusan yang telah dijatuhkan berupa pidana pelayanan masyarakat untuk mengetahui bentuk putusan yang dijatuhkan, misalnya ditulis secara rinci aktivitas kerja sosial yang akan dilakukan, tempat pelaksanaan, dan waktu pelaksanaan setiap harinya. Hal ini dapat memberikan kepastian hukum bagi pelaksana antara lain terpidana, jaksa dan bapas sebagai pengawas, serta lembaga ketiga tempat dilaksanakannya pidana kerja sosial. Keterbukaan bunyi putusan juga diperlukan untuk mengantisipasi perubahan-perubahan yang mungkin terjadi pada diri terpidana di masa mendatang agar pidana kerja sosial tetap dapat dilaksanakan </w:t>
      </w:r>
      <w:r>
        <w:lastRenderedPageBreak/>
        <w:t>sesuai tujuan yang diharapkan melalui penambahan frasa dalam putusan mengenai dimungkinkannya perubahan pelaksanaan pidana kerja sosial maupun melalui aturan khusus mengenai perubahan tersebut.</w:t>
      </w:r>
    </w:p>
    <w:p w14:paraId="3FEAB589" w14:textId="77777777" w:rsidR="0067341E" w:rsidRDefault="0067341E">
      <w:pPr>
        <w:pStyle w:val="Paragraph"/>
        <w:ind w:firstLine="0"/>
      </w:pPr>
    </w:p>
    <w:p w14:paraId="2A43253C" w14:textId="77777777" w:rsidR="0067341E" w:rsidRDefault="0067341E">
      <w:pPr>
        <w:pStyle w:val="Paragraph"/>
        <w:ind w:firstLine="0"/>
      </w:pPr>
    </w:p>
    <w:p w14:paraId="52F0B527" w14:textId="77777777" w:rsidR="0067341E" w:rsidRDefault="00120FD9">
      <w:pPr>
        <w:pStyle w:val="Heading1"/>
        <w:sectPr w:rsidR="0067341E">
          <w:type w:val="continuous"/>
          <w:pgSz w:w="11906" w:h="16838"/>
          <w:pgMar w:top="1440" w:right="1440" w:bottom="1440" w:left="1440" w:header="708" w:footer="708" w:gutter="0"/>
          <w:cols w:space="708"/>
          <w:titlePg/>
          <w:docGrid w:linePitch="360"/>
        </w:sectPr>
      </w:pPr>
      <w:r>
        <w:rPr>
          <w:lang w:val="en-US"/>
        </w:rPr>
        <w:t>Kesimpulan</w:t>
      </w:r>
    </w:p>
    <w:p w14:paraId="77626EE2" w14:textId="77777777" w:rsidR="0067341E" w:rsidRDefault="00120FD9">
      <w:pPr>
        <w:pStyle w:val="Paragraph"/>
        <w:ind w:firstLine="720"/>
        <w:sectPr w:rsidR="0067341E">
          <w:type w:val="continuous"/>
          <w:pgSz w:w="11906" w:h="16838"/>
          <w:pgMar w:top="1440" w:right="1440" w:bottom="1440" w:left="1440" w:header="708" w:footer="708" w:gutter="0"/>
          <w:cols w:space="708"/>
          <w:titlePg/>
          <w:docGrid w:linePitch="360"/>
        </w:sectPr>
      </w:pPr>
      <w:r>
        <w:t>Pidana kerja sosial merupakan salah satu bentuk pidana pokok dalam Undang-Undang Nomor 1 Tahun 2023 tentang Kitab Undang-Undang Hukum Pidana yang akan dilaksanakan mulai tahun 2026. Bentuk pidana ini belum pernah diterapkan di Indonesia sebelumnya namun memiliki kemiripan dengan konsep pelaksanaan pidana pelayanan masyarakat yang dikenakan pada anak sesuai dengan Undang-Undang Nomor 11 Tahun 2012 tentang Sistem Peradilan Pidana Anak. Setelah melalui studi pustaka darin peraturan perundang-undangan terkait dan buku serta jurnal mengenai pidana kerja sosial, serta wawancara terhadap Balai Pemasyarakatan Kelas I Kota Semarang, Kejaksaan Negeri Kota Semarang, Pengadilan Negeri Kelas IA Khusus Kota Semarang, dan Kantor Wilayah Kementerian Hukum dan Hak Asasi Manusia Provinsi Jawa Tengah ditemukan bahwa belum diketahui secara rinci pelaksanaan pidana kerja sosial akan seperti apa terutama di Kota Semarang, Provinsi Jawa Tengah. KUHP menegaskan bahwa pelaksanaan pidana kerja sosial  murni sesuai putusan pengadilan, namun tetap dibutuhkan petunjuk bagi hakim untuk memutus sehingga tujuan diberlakukannya pidana kerja sosial dapat tercapai dengan optimal. Penjatuhan putusan hingga pelaksanaan pidana kerja sosial dapat dilakukan seperti pelaksanaan pidana pelayanan masyarakat mulai dari hasil penelitian yang dilakukan oleh pembimbing kemasyarakatan oleh Balai Pemasyarakatan untuk pertimbangan hakim dalam memutus hingga pelaksanaan pidananya. Dukungan terhadap pelaksanaan pidana kerja sosial seharusnya dilakukan dengan memberikan sarana prasarana yang sesuai dengan kebutuhan pelaksanaan misalnya seperti pengadaan kerja sama dengan lembaga ketiga untuk melaksanakan pidana kerja sosial.</w:t>
      </w:r>
    </w:p>
    <w:p w14:paraId="1644CC84" w14:textId="77777777" w:rsidR="0067341E" w:rsidRDefault="0067341E">
      <w:pPr>
        <w:pStyle w:val="Paragraph"/>
        <w:rPr>
          <w:lang w:val="sv-SE"/>
        </w:rPr>
      </w:pPr>
    </w:p>
    <w:p w14:paraId="68669388" w14:textId="77777777" w:rsidR="0067341E" w:rsidRDefault="0067341E">
      <w:pPr>
        <w:pStyle w:val="Sistematika"/>
        <w:spacing w:after="0"/>
        <w:rPr>
          <w:szCs w:val="22"/>
          <w:lang w:val="sv-SE"/>
        </w:rPr>
        <w:sectPr w:rsidR="0067341E">
          <w:type w:val="continuous"/>
          <w:pgSz w:w="11906" w:h="16838"/>
          <w:pgMar w:top="1440" w:right="1440" w:bottom="1440" w:left="1440" w:header="708" w:footer="708" w:gutter="0"/>
          <w:cols w:num="2" w:space="708"/>
          <w:titlePg/>
          <w:docGrid w:linePitch="360"/>
        </w:sectPr>
      </w:pPr>
    </w:p>
    <w:p w14:paraId="4236AF5C" w14:textId="77777777" w:rsidR="0067341E" w:rsidRDefault="00120FD9">
      <w:pPr>
        <w:pStyle w:val="Heading1"/>
        <w:spacing w:line="360" w:lineRule="auto"/>
        <w:jc w:val="both"/>
        <w:rPr>
          <w:rFonts w:cs="Garamond"/>
          <w:sz w:val="22"/>
          <w:szCs w:val="22"/>
        </w:rPr>
        <w:sectPr w:rsidR="0067341E">
          <w:type w:val="continuous"/>
          <w:pgSz w:w="11906" w:h="16838"/>
          <w:pgMar w:top="1440" w:right="1440" w:bottom="1440" w:left="1440" w:header="708" w:footer="708" w:gutter="0"/>
          <w:cols w:space="708"/>
          <w:titlePg/>
          <w:docGrid w:linePitch="360"/>
        </w:sectPr>
      </w:pPr>
      <w:r>
        <w:rPr>
          <w:rFonts w:cs="Garamond"/>
          <w:sz w:val="22"/>
          <w:szCs w:val="22"/>
          <w:lang w:val="sv-SE"/>
        </w:rPr>
        <w:t xml:space="preserve">Referensi </w:t>
      </w:r>
    </w:p>
    <w:p w14:paraId="46F225ED" w14:textId="77777777" w:rsidR="0067341E" w:rsidRDefault="00120FD9">
      <w:pPr>
        <w:widowControl w:val="0"/>
        <w:autoSpaceDE w:val="0"/>
        <w:autoSpaceDN w:val="0"/>
        <w:adjustRightInd w:val="0"/>
        <w:spacing w:after="0" w:line="360" w:lineRule="auto"/>
        <w:ind w:left="480" w:hanging="480"/>
        <w:jc w:val="both"/>
        <w:rPr>
          <w:rFonts w:ascii="Garamond" w:hAnsi="Garamond" w:cs="Garamond"/>
          <w:sz w:val="22"/>
        </w:rPr>
      </w:pPr>
      <w:r>
        <w:rPr>
          <w:rFonts w:ascii="Garamond" w:hAnsi="Garamond" w:cs="Garamond"/>
          <w:sz w:val="22"/>
          <w:lang w:val="sv-SE"/>
        </w:rPr>
        <w:fldChar w:fldCharType="begin" w:fldLock="1"/>
      </w:r>
      <w:r>
        <w:rPr>
          <w:rFonts w:ascii="Garamond" w:hAnsi="Garamond" w:cs="Garamond"/>
          <w:sz w:val="22"/>
          <w:lang w:val="sv-SE"/>
        </w:rPr>
        <w:instrText xml:space="preserve">ADDIN Mendeley Bibliography CSL_BIBLIOGRAPHY </w:instrText>
      </w:r>
      <w:r>
        <w:rPr>
          <w:rFonts w:ascii="Garamond" w:hAnsi="Garamond" w:cs="Garamond"/>
          <w:sz w:val="22"/>
          <w:lang w:val="sv-SE"/>
        </w:rPr>
        <w:fldChar w:fldCharType="separate"/>
      </w:r>
      <w:r>
        <w:rPr>
          <w:rFonts w:ascii="Garamond" w:hAnsi="Garamond" w:cs="Garamond"/>
          <w:sz w:val="22"/>
        </w:rPr>
        <w:t xml:space="preserve">Abdullah, O. S. (2024). </w:t>
      </w:r>
      <w:r>
        <w:rPr>
          <w:rFonts w:ascii="Garamond" w:hAnsi="Garamond" w:cs="Garamond"/>
          <w:i/>
          <w:iCs/>
          <w:sz w:val="22"/>
        </w:rPr>
        <w:t>Orientasi Implementasi Pidana Kerja Sosial sebagai Alternatif Pidana Non-Pemenjaraan dalam KUHP 2023</w:t>
      </w:r>
      <w:r>
        <w:rPr>
          <w:rFonts w:ascii="Garamond" w:hAnsi="Garamond" w:cs="Garamond"/>
          <w:sz w:val="22"/>
        </w:rPr>
        <w:t>. Institute for Criminal Justice Reform.</w:t>
      </w:r>
    </w:p>
    <w:p w14:paraId="52A5D634" w14:textId="77777777" w:rsidR="0067341E" w:rsidRDefault="00120FD9">
      <w:pPr>
        <w:widowControl w:val="0"/>
        <w:autoSpaceDE w:val="0"/>
        <w:autoSpaceDN w:val="0"/>
        <w:adjustRightInd w:val="0"/>
        <w:spacing w:after="0" w:line="360" w:lineRule="auto"/>
        <w:ind w:left="480" w:hanging="480"/>
        <w:jc w:val="both"/>
        <w:rPr>
          <w:rFonts w:ascii="Garamond" w:hAnsi="Garamond" w:cs="Garamond"/>
          <w:sz w:val="22"/>
        </w:rPr>
      </w:pPr>
      <w:r>
        <w:rPr>
          <w:rFonts w:ascii="Garamond" w:hAnsi="Garamond" w:cs="Garamond"/>
          <w:sz w:val="22"/>
        </w:rPr>
        <w:t xml:space="preserve">Direktorat Jenderal Pemasyarakatan. (2025). </w:t>
      </w:r>
      <w:r>
        <w:rPr>
          <w:rFonts w:ascii="Garamond" w:hAnsi="Garamond" w:cs="Garamond"/>
          <w:i/>
          <w:iCs/>
          <w:sz w:val="22"/>
        </w:rPr>
        <w:t>Laporan Jumlah Penghuni Khusus</w:t>
      </w:r>
      <w:r>
        <w:rPr>
          <w:rFonts w:ascii="Garamond" w:hAnsi="Garamond" w:cs="Garamond"/>
          <w:sz w:val="22"/>
        </w:rPr>
        <w:t>. SDP Publik. https://sdppublik.ditjenpas.go.id/</w:t>
      </w:r>
    </w:p>
    <w:p w14:paraId="3F177251" w14:textId="77777777" w:rsidR="0067341E" w:rsidRDefault="00120FD9">
      <w:pPr>
        <w:widowControl w:val="0"/>
        <w:autoSpaceDE w:val="0"/>
        <w:autoSpaceDN w:val="0"/>
        <w:adjustRightInd w:val="0"/>
        <w:spacing w:after="0" w:line="360" w:lineRule="auto"/>
        <w:ind w:left="480" w:hanging="480"/>
        <w:jc w:val="both"/>
        <w:rPr>
          <w:rFonts w:ascii="Garamond" w:hAnsi="Garamond" w:cs="Garamond"/>
          <w:sz w:val="22"/>
        </w:rPr>
      </w:pPr>
      <w:r>
        <w:rPr>
          <w:rFonts w:ascii="Garamond" w:hAnsi="Garamond" w:cs="Garamond"/>
          <w:sz w:val="22"/>
        </w:rPr>
        <w:t xml:space="preserve">Igo, M., Amiruddin, A., &amp; Ufran, U. (2022). Kebijakan Formulasi Dalam RUU KUHP Terhadap Pidana Kerja Sosial Sebagai Alternatif Pidana Penjara. </w:t>
      </w:r>
      <w:r>
        <w:rPr>
          <w:rFonts w:ascii="Garamond" w:hAnsi="Garamond" w:cs="Garamond"/>
          <w:i/>
          <w:iCs/>
          <w:sz w:val="22"/>
        </w:rPr>
        <w:t>Jurnal Education and Development</w:t>
      </w:r>
      <w:r>
        <w:rPr>
          <w:rFonts w:ascii="Garamond" w:hAnsi="Garamond" w:cs="Garamond"/>
          <w:sz w:val="22"/>
        </w:rPr>
        <w:t xml:space="preserve">, </w:t>
      </w:r>
      <w:r>
        <w:rPr>
          <w:rFonts w:ascii="Garamond" w:hAnsi="Garamond" w:cs="Garamond"/>
          <w:i/>
          <w:iCs/>
          <w:sz w:val="22"/>
        </w:rPr>
        <w:t>10</w:t>
      </w:r>
      <w:r>
        <w:rPr>
          <w:rFonts w:ascii="Garamond" w:hAnsi="Garamond" w:cs="Garamond"/>
          <w:sz w:val="22"/>
        </w:rPr>
        <w:t>(2), 707–713. https://www.neliti.com/publications/562728/kebijakan-formulasi-dalam-ruu-kuhp-terhadap-pidana-kerja-sosial-sebagai-alternat#cite</w:t>
      </w:r>
    </w:p>
    <w:p w14:paraId="018956B6" w14:textId="77777777" w:rsidR="0067341E" w:rsidRDefault="00120FD9">
      <w:pPr>
        <w:widowControl w:val="0"/>
        <w:autoSpaceDE w:val="0"/>
        <w:autoSpaceDN w:val="0"/>
        <w:adjustRightInd w:val="0"/>
        <w:spacing w:after="0" w:line="360" w:lineRule="auto"/>
        <w:ind w:left="480" w:hanging="480"/>
        <w:jc w:val="both"/>
        <w:rPr>
          <w:rFonts w:ascii="Garamond" w:hAnsi="Garamond" w:cs="Garamond"/>
          <w:sz w:val="22"/>
        </w:rPr>
      </w:pPr>
      <w:r>
        <w:rPr>
          <w:rFonts w:ascii="Garamond" w:hAnsi="Garamond" w:cs="Garamond"/>
          <w:sz w:val="22"/>
        </w:rPr>
        <w:t xml:space="preserve">Jamilah, A., &amp; Disemadi, H. S. (2020). Pidana Kerja Sosial: Kebijakan Penanggulangan Overcrowding Penjara. </w:t>
      </w:r>
      <w:r>
        <w:rPr>
          <w:rFonts w:ascii="Garamond" w:hAnsi="Garamond" w:cs="Garamond"/>
          <w:i/>
          <w:iCs/>
          <w:sz w:val="22"/>
        </w:rPr>
        <w:t>Jurnal IUS Kajian Hukum Dan Keadilan</w:t>
      </w:r>
      <w:r>
        <w:rPr>
          <w:rFonts w:ascii="Garamond" w:hAnsi="Garamond" w:cs="Garamond"/>
          <w:sz w:val="22"/>
        </w:rPr>
        <w:t xml:space="preserve">, </w:t>
      </w:r>
      <w:r>
        <w:rPr>
          <w:rFonts w:ascii="Garamond" w:hAnsi="Garamond" w:cs="Garamond"/>
          <w:i/>
          <w:iCs/>
          <w:sz w:val="22"/>
        </w:rPr>
        <w:t>8</w:t>
      </w:r>
      <w:r>
        <w:rPr>
          <w:rFonts w:ascii="Garamond" w:hAnsi="Garamond" w:cs="Garamond"/>
          <w:sz w:val="22"/>
        </w:rPr>
        <w:t>(1), 26. https://doi.org/10.29303/ius.v8i1.726</w:t>
      </w:r>
    </w:p>
    <w:p w14:paraId="0CD029F6" w14:textId="77777777" w:rsidR="0067341E" w:rsidRDefault="00120FD9">
      <w:pPr>
        <w:widowControl w:val="0"/>
        <w:autoSpaceDE w:val="0"/>
        <w:autoSpaceDN w:val="0"/>
        <w:adjustRightInd w:val="0"/>
        <w:spacing w:after="0" w:line="360" w:lineRule="auto"/>
        <w:ind w:left="480" w:hanging="480"/>
        <w:jc w:val="both"/>
        <w:rPr>
          <w:rFonts w:ascii="Garamond" w:hAnsi="Garamond" w:cs="Garamond"/>
          <w:sz w:val="22"/>
        </w:rPr>
      </w:pPr>
      <w:r>
        <w:rPr>
          <w:rFonts w:ascii="Garamond" w:hAnsi="Garamond" w:cs="Garamond"/>
          <w:sz w:val="22"/>
        </w:rPr>
        <w:t xml:space="preserve">Kurniasi, R. (2024). Penerapan Restorative Justice Terhadap Anak yang Menjadi Pelaku Tindak Pidana Melalui Diversi. </w:t>
      </w:r>
      <w:r>
        <w:rPr>
          <w:rFonts w:ascii="Garamond" w:hAnsi="Garamond" w:cs="Garamond"/>
          <w:i/>
          <w:iCs/>
          <w:sz w:val="22"/>
        </w:rPr>
        <w:t>UNES Law Review</w:t>
      </w:r>
      <w:r>
        <w:rPr>
          <w:rFonts w:ascii="Garamond" w:hAnsi="Garamond" w:cs="Garamond"/>
          <w:sz w:val="22"/>
        </w:rPr>
        <w:t xml:space="preserve">, </w:t>
      </w:r>
      <w:r>
        <w:rPr>
          <w:rFonts w:ascii="Garamond" w:hAnsi="Garamond" w:cs="Garamond"/>
          <w:i/>
          <w:iCs/>
          <w:sz w:val="22"/>
        </w:rPr>
        <w:t>6</w:t>
      </w:r>
      <w:r>
        <w:rPr>
          <w:rFonts w:ascii="Garamond" w:hAnsi="Garamond" w:cs="Garamond"/>
          <w:sz w:val="22"/>
        </w:rPr>
        <w:t>(4), 10821–10828.</w:t>
      </w:r>
    </w:p>
    <w:p w14:paraId="28E66B6E" w14:textId="77777777" w:rsidR="0067341E" w:rsidRDefault="00120FD9">
      <w:pPr>
        <w:widowControl w:val="0"/>
        <w:autoSpaceDE w:val="0"/>
        <w:autoSpaceDN w:val="0"/>
        <w:adjustRightInd w:val="0"/>
        <w:spacing w:after="0" w:line="360" w:lineRule="auto"/>
        <w:ind w:left="480" w:hanging="480"/>
        <w:jc w:val="both"/>
        <w:rPr>
          <w:rFonts w:ascii="Garamond" w:hAnsi="Garamond" w:cs="Garamond"/>
          <w:sz w:val="22"/>
        </w:rPr>
      </w:pPr>
      <w:r>
        <w:rPr>
          <w:rFonts w:ascii="Garamond" w:hAnsi="Garamond" w:cs="Garamond"/>
          <w:sz w:val="22"/>
        </w:rPr>
        <w:t xml:space="preserve">Muhammad, R. (2007). </w:t>
      </w:r>
      <w:r>
        <w:rPr>
          <w:rFonts w:ascii="Garamond" w:hAnsi="Garamond" w:cs="Garamond"/>
          <w:i/>
          <w:iCs/>
          <w:sz w:val="22"/>
        </w:rPr>
        <w:t>Hukum Acara Pidana Kontemporer</w:t>
      </w:r>
      <w:r>
        <w:rPr>
          <w:rFonts w:ascii="Garamond" w:hAnsi="Garamond" w:cs="Garamond"/>
          <w:sz w:val="22"/>
        </w:rPr>
        <w:t>. PT. Citra Aditya Bakti.</w:t>
      </w:r>
    </w:p>
    <w:p w14:paraId="2AB42E9F" w14:textId="77777777" w:rsidR="0067341E" w:rsidRDefault="00120FD9">
      <w:pPr>
        <w:widowControl w:val="0"/>
        <w:autoSpaceDE w:val="0"/>
        <w:autoSpaceDN w:val="0"/>
        <w:adjustRightInd w:val="0"/>
        <w:spacing w:after="0" w:line="360" w:lineRule="auto"/>
        <w:ind w:left="480" w:hanging="480"/>
        <w:jc w:val="both"/>
        <w:rPr>
          <w:rFonts w:ascii="Garamond" w:hAnsi="Garamond" w:cs="Garamond"/>
          <w:sz w:val="22"/>
        </w:rPr>
      </w:pPr>
      <w:r>
        <w:rPr>
          <w:rFonts w:ascii="Garamond" w:hAnsi="Garamond" w:cs="Garamond"/>
          <w:sz w:val="22"/>
        </w:rPr>
        <w:t>Undang-Undang Nomor 11 Tahun 2012 tentang Sistem Peradilan Pidana Anak, (2012).</w:t>
      </w:r>
    </w:p>
    <w:p w14:paraId="5D6D48D0" w14:textId="77777777" w:rsidR="0067341E" w:rsidRDefault="00120FD9">
      <w:pPr>
        <w:widowControl w:val="0"/>
        <w:autoSpaceDE w:val="0"/>
        <w:autoSpaceDN w:val="0"/>
        <w:adjustRightInd w:val="0"/>
        <w:spacing w:after="0" w:line="360" w:lineRule="auto"/>
        <w:ind w:left="480" w:hanging="480"/>
        <w:jc w:val="both"/>
        <w:rPr>
          <w:rFonts w:ascii="Garamond" w:hAnsi="Garamond" w:cs="Garamond"/>
          <w:sz w:val="22"/>
        </w:rPr>
      </w:pPr>
      <w:r>
        <w:rPr>
          <w:rFonts w:ascii="Garamond" w:hAnsi="Garamond" w:cs="Garamond"/>
          <w:sz w:val="22"/>
        </w:rPr>
        <w:t>Peraturan Pemerintah Nomor 58 Tahun 2022 tentang Bentuk dan Tata Cara Pelaksanaan Pidana dan Tindakan terhadap Anak, (2022).</w:t>
      </w:r>
    </w:p>
    <w:p w14:paraId="448F3ADA" w14:textId="77777777" w:rsidR="0067341E" w:rsidRDefault="00120FD9">
      <w:pPr>
        <w:widowControl w:val="0"/>
        <w:autoSpaceDE w:val="0"/>
        <w:autoSpaceDN w:val="0"/>
        <w:adjustRightInd w:val="0"/>
        <w:spacing w:after="0" w:line="360" w:lineRule="auto"/>
        <w:ind w:left="480" w:hanging="480"/>
        <w:jc w:val="both"/>
        <w:rPr>
          <w:rFonts w:ascii="Garamond" w:hAnsi="Garamond" w:cs="Garamond"/>
          <w:sz w:val="22"/>
        </w:rPr>
      </w:pPr>
      <w:r>
        <w:rPr>
          <w:rFonts w:ascii="Garamond" w:hAnsi="Garamond" w:cs="Garamond"/>
          <w:sz w:val="22"/>
        </w:rPr>
        <w:t>Undang-Undang Nomor 22 Tahun 2022 tentang Pemasyarakatan, (2022).</w:t>
      </w:r>
    </w:p>
    <w:p w14:paraId="45D192EA" w14:textId="77777777" w:rsidR="0067341E" w:rsidRDefault="00120FD9">
      <w:pPr>
        <w:widowControl w:val="0"/>
        <w:autoSpaceDE w:val="0"/>
        <w:autoSpaceDN w:val="0"/>
        <w:adjustRightInd w:val="0"/>
        <w:spacing w:after="0" w:line="360" w:lineRule="auto"/>
        <w:ind w:left="480" w:hanging="480"/>
        <w:jc w:val="both"/>
        <w:rPr>
          <w:rFonts w:ascii="Garamond" w:hAnsi="Garamond" w:cs="Garamond"/>
          <w:sz w:val="22"/>
        </w:rPr>
      </w:pPr>
      <w:r>
        <w:rPr>
          <w:rFonts w:ascii="Garamond" w:hAnsi="Garamond" w:cs="Garamond"/>
          <w:sz w:val="22"/>
        </w:rPr>
        <w:t>Undang-Undang Nomor 1 Tahun 2023 tentang Kitab Undang-Undang Hukum Pidana, (2023).</w:t>
      </w:r>
    </w:p>
    <w:p w14:paraId="13FDED0F" w14:textId="77777777" w:rsidR="0067341E" w:rsidRDefault="00120FD9">
      <w:pPr>
        <w:widowControl w:val="0"/>
        <w:autoSpaceDE w:val="0"/>
        <w:autoSpaceDN w:val="0"/>
        <w:adjustRightInd w:val="0"/>
        <w:spacing w:after="0" w:line="360" w:lineRule="auto"/>
        <w:ind w:left="480" w:hanging="480"/>
        <w:jc w:val="both"/>
        <w:rPr>
          <w:rFonts w:ascii="Garamond" w:hAnsi="Garamond" w:cs="Garamond"/>
          <w:sz w:val="22"/>
        </w:rPr>
      </w:pPr>
      <w:r>
        <w:rPr>
          <w:rFonts w:ascii="Garamond" w:hAnsi="Garamond" w:cs="Garamond"/>
          <w:sz w:val="22"/>
        </w:rPr>
        <w:lastRenderedPageBreak/>
        <w:t xml:space="preserve">Rafsanjani, J. I., Prasetio, R. B., &amp; Anggayudha, Z. H. (2023). Eksistensi Pidana Kerja Sosial dalam </w:t>
      </w:r>
    </w:p>
    <w:p w14:paraId="4E75047B" w14:textId="77777777" w:rsidR="0067341E" w:rsidRDefault="00120FD9">
      <w:pPr>
        <w:widowControl w:val="0"/>
        <w:autoSpaceDE w:val="0"/>
        <w:autoSpaceDN w:val="0"/>
        <w:adjustRightInd w:val="0"/>
        <w:spacing w:after="0" w:line="360" w:lineRule="auto"/>
        <w:ind w:left="480" w:hanging="480"/>
        <w:jc w:val="both"/>
        <w:rPr>
          <w:rFonts w:ascii="Garamond" w:hAnsi="Garamond" w:cs="Garamond"/>
          <w:sz w:val="22"/>
        </w:rPr>
      </w:pPr>
      <w:r>
        <w:rPr>
          <w:rFonts w:ascii="Garamond" w:hAnsi="Garamond" w:cs="Garamond"/>
          <w:sz w:val="22"/>
        </w:rPr>
        <w:t xml:space="preserve">Perspektif Hukum Progresif. </w:t>
      </w:r>
      <w:r>
        <w:rPr>
          <w:rFonts w:ascii="Garamond" w:hAnsi="Garamond" w:cs="Garamond"/>
          <w:i/>
          <w:iCs/>
          <w:sz w:val="22"/>
        </w:rPr>
        <w:t>Jurnal Penelitian Hukum De Jure</w:t>
      </w:r>
      <w:r>
        <w:rPr>
          <w:rFonts w:ascii="Garamond" w:hAnsi="Garamond" w:cs="Garamond"/>
          <w:sz w:val="22"/>
        </w:rPr>
        <w:t xml:space="preserve">, </w:t>
      </w:r>
      <w:r>
        <w:rPr>
          <w:rFonts w:ascii="Garamond" w:hAnsi="Garamond" w:cs="Garamond"/>
          <w:i/>
          <w:iCs/>
          <w:sz w:val="22"/>
        </w:rPr>
        <w:t>23</w:t>
      </w:r>
      <w:r>
        <w:rPr>
          <w:rFonts w:ascii="Garamond" w:hAnsi="Garamond" w:cs="Garamond"/>
          <w:sz w:val="22"/>
        </w:rPr>
        <w:t>(2), 219. https://doi.org/10.30641/dejure.2023.v23.219-230</w:t>
      </w:r>
    </w:p>
    <w:p w14:paraId="7A39CFA0" w14:textId="77777777" w:rsidR="0067341E" w:rsidRDefault="00120FD9">
      <w:pPr>
        <w:widowControl w:val="0"/>
        <w:autoSpaceDE w:val="0"/>
        <w:autoSpaceDN w:val="0"/>
        <w:adjustRightInd w:val="0"/>
        <w:spacing w:after="0" w:line="360" w:lineRule="auto"/>
        <w:ind w:left="480" w:hanging="480"/>
        <w:jc w:val="both"/>
        <w:rPr>
          <w:rFonts w:ascii="Garamond" w:hAnsi="Garamond" w:cs="Garamond"/>
          <w:sz w:val="22"/>
        </w:rPr>
      </w:pPr>
      <w:r>
        <w:rPr>
          <w:rFonts w:ascii="Garamond" w:hAnsi="Garamond" w:cs="Garamond"/>
          <w:sz w:val="22"/>
        </w:rPr>
        <w:t xml:space="preserve">Slat, T. K. (2020). Sanksi Pidana Kerja Sosial Terhadap Tindak Pidana Ringan Sebagai Upaya Pembaharuan Hukum Pidana Nasional. </w:t>
      </w:r>
      <w:r>
        <w:rPr>
          <w:rFonts w:ascii="Garamond" w:hAnsi="Garamond" w:cs="Garamond"/>
          <w:i/>
          <w:iCs/>
          <w:sz w:val="22"/>
        </w:rPr>
        <w:t>Jurnal Ilmiah Pendidikan Pancasila Dan Kewarganegaraan</w:t>
      </w:r>
      <w:r>
        <w:rPr>
          <w:rFonts w:ascii="Garamond" w:hAnsi="Garamond" w:cs="Garamond"/>
          <w:sz w:val="22"/>
        </w:rPr>
        <w:t xml:space="preserve">, </w:t>
      </w:r>
      <w:r>
        <w:rPr>
          <w:rFonts w:ascii="Garamond" w:hAnsi="Garamond" w:cs="Garamond"/>
          <w:i/>
          <w:iCs/>
          <w:sz w:val="22"/>
        </w:rPr>
        <w:t>4</w:t>
      </w:r>
      <w:r>
        <w:rPr>
          <w:rFonts w:ascii="Garamond" w:hAnsi="Garamond" w:cs="Garamond"/>
          <w:sz w:val="22"/>
        </w:rPr>
        <w:t>(2), 352–360.</w:t>
      </w:r>
    </w:p>
    <w:p w14:paraId="16DF3160" w14:textId="77777777" w:rsidR="0067341E" w:rsidRDefault="00120FD9">
      <w:pPr>
        <w:widowControl w:val="0"/>
        <w:autoSpaceDE w:val="0"/>
        <w:autoSpaceDN w:val="0"/>
        <w:adjustRightInd w:val="0"/>
        <w:spacing w:after="0" w:line="360" w:lineRule="auto"/>
        <w:ind w:left="480" w:hanging="480"/>
        <w:jc w:val="both"/>
        <w:rPr>
          <w:rFonts w:ascii="Garamond" w:hAnsi="Garamond" w:cs="Garamond"/>
          <w:sz w:val="22"/>
        </w:rPr>
      </w:pPr>
      <w:r>
        <w:rPr>
          <w:rFonts w:ascii="Garamond" w:hAnsi="Garamond" w:cs="Garamond"/>
          <w:sz w:val="22"/>
        </w:rPr>
        <w:t xml:space="preserve">Tieken, S., Sahputra, F., Amanda, P. K., &amp; Kusumaningrum, S. (2020). </w:t>
      </w:r>
      <w:r>
        <w:rPr>
          <w:rFonts w:ascii="Garamond" w:hAnsi="Garamond" w:cs="Garamond"/>
          <w:i/>
          <w:iCs/>
          <w:sz w:val="22"/>
        </w:rPr>
        <w:t>Kesempatan Kedua dalam Hidup: Memulihkan Kesempatan bagi Anak dalam Sistem Peradilan Pidana di Indonesia</w:t>
      </w:r>
      <w:r>
        <w:rPr>
          <w:rFonts w:ascii="Garamond" w:hAnsi="Garamond" w:cs="Garamond"/>
          <w:sz w:val="22"/>
        </w:rPr>
        <w:t>.</w:t>
      </w:r>
    </w:p>
    <w:p w14:paraId="0B75FA48" w14:textId="77777777" w:rsidR="0067341E" w:rsidRDefault="00120FD9">
      <w:pPr>
        <w:widowControl w:val="0"/>
        <w:autoSpaceDE w:val="0"/>
        <w:autoSpaceDN w:val="0"/>
        <w:adjustRightInd w:val="0"/>
        <w:spacing w:after="0" w:line="360" w:lineRule="auto"/>
        <w:ind w:left="480" w:hanging="480"/>
        <w:jc w:val="both"/>
        <w:rPr>
          <w:rFonts w:ascii="Garamond" w:hAnsi="Garamond" w:cs="Garamond"/>
          <w:sz w:val="22"/>
        </w:rPr>
      </w:pPr>
      <w:r>
        <w:rPr>
          <w:rFonts w:ascii="Garamond" w:hAnsi="Garamond" w:cs="Garamond"/>
          <w:sz w:val="22"/>
        </w:rPr>
        <w:t xml:space="preserve">Tim Peneliti. (2024a). </w:t>
      </w:r>
      <w:r>
        <w:rPr>
          <w:rFonts w:ascii="Garamond" w:hAnsi="Garamond" w:cs="Garamond"/>
          <w:i/>
          <w:iCs/>
          <w:sz w:val="22"/>
        </w:rPr>
        <w:t>Hasil Wawancara dengan Hakim di Pengadilan Negeri Kota Semarang pada tanggal 18 Oktober 2024</w:t>
      </w:r>
      <w:r>
        <w:rPr>
          <w:rFonts w:ascii="Garamond" w:hAnsi="Garamond" w:cs="Garamond"/>
          <w:sz w:val="22"/>
        </w:rPr>
        <w:t>.</w:t>
      </w:r>
    </w:p>
    <w:p w14:paraId="480F5DCB" w14:textId="77777777" w:rsidR="0067341E" w:rsidRDefault="00120FD9">
      <w:pPr>
        <w:widowControl w:val="0"/>
        <w:autoSpaceDE w:val="0"/>
        <w:autoSpaceDN w:val="0"/>
        <w:adjustRightInd w:val="0"/>
        <w:spacing w:after="0" w:line="360" w:lineRule="auto"/>
        <w:ind w:left="480" w:hanging="480"/>
        <w:jc w:val="both"/>
        <w:rPr>
          <w:rFonts w:ascii="Garamond" w:hAnsi="Garamond" w:cs="Garamond"/>
          <w:sz w:val="22"/>
        </w:rPr>
      </w:pPr>
      <w:r>
        <w:rPr>
          <w:rFonts w:ascii="Garamond" w:hAnsi="Garamond" w:cs="Garamond"/>
          <w:sz w:val="22"/>
        </w:rPr>
        <w:t xml:space="preserve">Tim Peneliti. (2024b). </w:t>
      </w:r>
      <w:r>
        <w:rPr>
          <w:rFonts w:ascii="Garamond" w:hAnsi="Garamond" w:cs="Garamond"/>
          <w:i/>
          <w:iCs/>
          <w:sz w:val="22"/>
        </w:rPr>
        <w:t>Hasil Wawancara dengan Jaksa di Kejaksaan Negeri Kota Semarang secara Daring pada tanggal 30 Oktober 2024</w:t>
      </w:r>
      <w:r>
        <w:rPr>
          <w:rFonts w:ascii="Garamond" w:hAnsi="Garamond" w:cs="Garamond"/>
          <w:sz w:val="22"/>
        </w:rPr>
        <w:t>.</w:t>
      </w:r>
    </w:p>
    <w:p w14:paraId="108E1316" w14:textId="77777777" w:rsidR="0067341E" w:rsidRDefault="00120FD9">
      <w:pPr>
        <w:widowControl w:val="0"/>
        <w:autoSpaceDE w:val="0"/>
        <w:autoSpaceDN w:val="0"/>
        <w:adjustRightInd w:val="0"/>
        <w:spacing w:after="0" w:line="360" w:lineRule="auto"/>
        <w:ind w:left="480" w:hanging="480"/>
        <w:jc w:val="both"/>
        <w:rPr>
          <w:rFonts w:ascii="Garamond" w:hAnsi="Garamond" w:cs="Garamond"/>
          <w:sz w:val="22"/>
        </w:rPr>
      </w:pPr>
      <w:r>
        <w:rPr>
          <w:rFonts w:ascii="Garamond" w:hAnsi="Garamond" w:cs="Garamond"/>
          <w:sz w:val="22"/>
        </w:rPr>
        <w:t xml:space="preserve">Tim Peneliti. (2024c). </w:t>
      </w:r>
      <w:r>
        <w:rPr>
          <w:rFonts w:ascii="Garamond" w:hAnsi="Garamond" w:cs="Garamond"/>
          <w:i/>
          <w:iCs/>
          <w:sz w:val="22"/>
        </w:rPr>
        <w:t>Hasil Wawancara dengan Pembimbing Kemasyarakatan di Balai Pemasyarakatan Kota Semarang pada tanggal 14 Oktober 2024</w:t>
      </w:r>
      <w:r>
        <w:rPr>
          <w:rFonts w:ascii="Garamond" w:hAnsi="Garamond" w:cs="Garamond"/>
          <w:sz w:val="22"/>
        </w:rPr>
        <w:t>.</w:t>
      </w:r>
    </w:p>
    <w:p w14:paraId="357EDA68" w14:textId="77777777" w:rsidR="0067341E" w:rsidRDefault="00120FD9">
      <w:pPr>
        <w:widowControl w:val="0"/>
        <w:autoSpaceDE w:val="0"/>
        <w:autoSpaceDN w:val="0"/>
        <w:adjustRightInd w:val="0"/>
        <w:spacing w:after="0" w:line="360" w:lineRule="auto"/>
        <w:ind w:left="480" w:hanging="480"/>
        <w:jc w:val="both"/>
        <w:rPr>
          <w:rFonts w:ascii="Garamond" w:hAnsi="Garamond" w:cs="Garamond"/>
          <w:sz w:val="22"/>
        </w:rPr>
      </w:pPr>
      <w:r>
        <w:rPr>
          <w:rFonts w:ascii="Garamond" w:hAnsi="Garamond" w:cs="Garamond"/>
          <w:sz w:val="22"/>
        </w:rPr>
        <w:t xml:space="preserve">Tim Peneliti. (2024d). </w:t>
      </w:r>
      <w:r>
        <w:rPr>
          <w:rFonts w:ascii="Garamond" w:hAnsi="Garamond" w:cs="Garamond"/>
          <w:i/>
          <w:iCs/>
          <w:sz w:val="22"/>
        </w:rPr>
        <w:t>Hasil Wawancara di Kanwil Kemenkumham Jateng pada tanggal 18 November 2024</w:t>
      </w:r>
      <w:r>
        <w:rPr>
          <w:rFonts w:ascii="Garamond" w:hAnsi="Garamond" w:cs="Garamond"/>
          <w:sz w:val="22"/>
        </w:rPr>
        <w:t>.</w:t>
      </w:r>
    </w:p>
    <w:p w14:paraId="5E8D9016" w14:textId="77777777" w:rsidR="0067341E" w:rsidRDefault="00120FD9">
      <w:pPr>
        <w:widowControl w:val="0"/>
        <w:autoSpaceDE w:val="0"/>
        <w:autoSpaceDN w:val="0"/>
        <w:adjustRightInd w:val="0"/>
        <w:spacing w:after="0" w:line="360" w:lineRule="auto"/>
        <w:ind w:left="480" w:hanging="480"/>
        <w:jc w:val="both"/>
        <w:rPr>
          <w:rFonts w:ascii="Garamond" w:hAnsi="Garamond" w:cs="Garamond"/>
          <w:sz w:val="22"/>
        </w:rPr>
      </w:pPr>
      <w:r>
        <w:rPr>
          <w:rFonts w:ascii="Garamond" w:hAnsi="Garamond" w:cs="Garamond"/>
          <w:sz w:val="22"/>
        </w:rPr>
        <w:t xml:space="preserve">Wahyuni, W. (2021). Penerapan Sanksi Pidana Sebagai Pilihan Terakhir Terhadap Anak yang Melakukan Tindak Pidana. </w:t>
      </w:r>
      <w:r>
        <w:rPr>
          <w:rFonts w:ascii="Garamond" w:hAnsi="Garamond" w:cs="Garamond"/>
          <w:i/>
          <w:iCs/>
          <w:sz w:val="22"/>
        </w:rPr>
        <w:t>Jurisprudentie</w:t>
      </w:r>
      <w:r>
        <w:rPr>
          <w:rFonts w:ascii="Garamond" w:hAnsi="Garamond" w:cs="Garamond"/>
          <w:sz w:val="22"/>
        </w:rPr>
        <w:t xml:space="preserve">, </w:t>
      </w:r>
      <w:r>
        <w:rPr>
          <w:rFonts w:ascii="Garamond" w:hAnsi="Garamond" w:cs="Garamond"/>
          <w:i/>
          <w:iCs/>
          <w:sz w:val="22"/>
        </w:rPr>
        <w:t>8</w:t>
      </w:r>
      <w:r>
        <w:rPr>
          <w:rFonts w:ascii="Garamond" w:hAnsi="Garamond" w:cs="Garamond"/>
          <w:sz w:val="22"/>
        </w:rPr>
        <w:t>(1), 124–145.</w:t>
      </w:r>
    </w:p>
    <w:p w14:paraId="77DD80B1" w14:textId="77777777" w:rsidR="0067341E" w:rsidRDefault="00120FD9">
      <w:pPr>
        <w:widowControl w:val="0"/>
        <w:autoSpaceDE w:val="0"/>
        <w:autoSpaceDN w:val="0"/>
        <w:adjustRightInd w:val="0"/>
        <w:spacing w:after="0" w:line="360" w:lineRule="auto"/>
        <w:ind w:left="480" w:hanging="480"/>
        <w:jc w:val="both"/>
        <w:rPr>
          <w:rFonts w:ascii="Garamond" w:hAnsi="Garamond" w:cs="Garamond"/>
          <w:sz w:val="22"/>
        </w:rPr>
      </w:pPr>
      <w:r>
        <w:rPr>
          <w:rFonts w:ascii="Garamond" w:hAnsi="Garamond" w:cs="Garamond"/>
          <w:sz w:val="22"/>
        </w:rPr>
        <w:t xml:space="preserve">Waluyo, B. (2000). </w:t>
      </w:r>
      <w:r>
        <w:rPr>
          <w:rFonts w:ascii="Garamond" w:hAnsi="Garamond" w:cs="Garamond"/>
          <w:i/>
          <w:iCs/>
          <w:sz w:val="22"/>
        </w:rPr>
        <w:t>Pidana dan Pemidanaan</w:t>
      </w:r>
      <w:r>
        <w:rPr>
          <w:rFonts w:ascii="Garamond" w:hAnsi="Garamond" w:cs="Garamond"/>
          <w:sz w:val="22"/>
        </w:rPr>
        <w:t>. Sinar Grafika.</w:t>
      </w:r>
    </w:p>
    <w:p w14:paraId="079F0B4D" w14:textId="77777777" w:rsidR="0067341E" w:rsidRDefault="00120FD9">
      <w:pPr>
        <w:pStyle w:val="Paragraph"/>
        <w:spacing w:line="360" w:lineRule="auto"/>
        <w:ind w:firstLine="0"/>
        <w:rPr>
          <w:rFonts w:cs="Garamond"/>
          <w:lang w:val="sv-SE"/>
        </w:rPr>
      </w:pPr>
      <w:r>
        <w:rPr>
          <w:rFonts w:cs="Garamond"/>
          <w:lang w:val="sv-SE"/>
        </w:rPr>
        <w:fldChar w:fldCharType="end"/>
      </w:r>
      <w:r>
        <w:rPr>
          <w:rFonts w:cs="Garamond"/>
        </w:rPr>
        <w:t xml:space="preserve">      </w:t>
      </w:r>
    </w:p>
    <w:p w14:paraId="7B814C54" w14:textId="77777777" w:rsidR="0067341E" w:rsidRDefault="0067341E">
      <w:pPr>
        <w:pStyle w:val="Sistematika"/>
        <w:spacing w:before="0" w:beforeAutospacing="0" w:after="0"/>
      </w:pPr>
    </w:p>
    <w:sectPr w:rsidR="0067341E">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B1E0" w14:textId="77777777" w:rsidR="004D3351" w:rsidRDefault="004D3351">
      <w:pPr>
        <w:spacing w:line="240" w:lineRule="auto"/>
      </w:pPr>
      <w:r>
        <w:separator/>
      </w:r>
    </w:p>
  </w:endnote>
  <w:endnote w:type="continuationSeparator" w:id="0">
    <w:p w14:paraId="40A5D1DF" w14:textId="77777777" w:rsidR="004D3351" w:rsidRDefault="004D33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等线 Light">
    <w:altName w:val="Segoe Print"/>
    <w:charset w:val="00"/>
    <w:family w:val="auto"/>
    <w:pitch w:val="default"/>
  </w:font>
  <w:font w:name="Segoe UI">
    <w:panose1 w:val="020B0502040204020203"/>
    <w:charset w:val="00"/>
    <w:family w:val="swiss"/>
    <w:pitch w:val="default"/>
    <w:sig w:usb0="E4002EFF" w:usb1="C000E47F" w:usb2="00000009" w:usb3="00000000" w:csb0="200001FF" w:csb1="00000000"/>
  </w:font>
  <w:font w:name="MS Mincho">
    <w:altName w:val="ＭＳ 明朝"/>
    <w:panose1 w:val="02020609040205080304"/>
    <w:charset w:val="80"/>
    <w:family w:val="modern"/>
    <w:pitch w:val="default"/>
    <w:sig w:usb0="00000000" w:usb1="00000000" w:usb2="08000012" w:usb3="00000000" w:csb0="0002009F"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3C7D" w14:textId="77777777" w:rsidR="0067341E" w:rsidRDefault="00120FD9">
    <w:pPr>
      <w:pStyle w:val="Footer"/>
      <w:rPr>
        <w:lang w:val="en-US"/>
      </w:rPr>
    </w:pPr>
    <w:r>
      <w:rPr>
        <w:noProof/>
        <w:sz w:val="18"/>
      </w:rPr>
      <mc:AlternateContent>
        <mc:Choice Requires="wps">
          <w:drawing>
            <wp:anchor distT="0" distB="0" distL="114300" distR="114300" simplePos="0" relativeHeight="251666432" behindDoc="0" locked="0" layoutInCell="1" allowOverlap="1" wp14:anchorId="6BA149FA" wp14:editId="259FF26F">
              <wp:simplePos x="0" y="0"/>
              <wp:positionH relativeFrom="column">
                <wp:posOffset>5313680</wp:posOffset>
              </wp:positionH>
              <wp:positionV relativeFrom="paragraph">
                <wp:posOffset>-43815</wp:posOffset>
              </wp:positionV>
              <wp:extent cx="516255" cy="285750"/>
              <wp:effectExtent l="0" t="0" r="1905" b="3810"/>
              <wp:wrapNone/>
              <wp:docPr id="15" name="Text Box 15"/>
              <wp:cNvGraphicFramePr/>
              <a:graphic xmlns:a="http://schemas.openxmlformats.org/drawingml/2006/main">
                <a:graphicData uri="http://schemas.microsoft.com/office/word/2010/wordprocessingShape">
                  <wps:wsp>
                    <wps:cNvSpPr txBox="1"/>
                    <wps:spPr>
                      <a:xfrm>
                        <a:off x="0" y="0"/>
                        <a:ext cx="5162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38F9DBF" w14:textId="77777777" w:rsidR="0067341E" w:rsidRDefault="0067341E">
                          <w:pPr>
                            <w:rPr>
                              <w:rFonts w:ascii="Calibri" w:hAnsi="Calibri" w:cs="Calibri"/>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BA149FA" id="_x0000_t202" coordsize="21600,21600" o:spt="202" path="m,l,21600r21600,l21600,xe">
              <v:stroke joinstyle="miter"/>
              <v:path gradientshapeok="t" o:connecttype="rect"/>
            </v:shapetype>
            <v:shape id="Text Box 15" o:spid="_x0000_s1028" type="#_x0000_t202" style="position:absolute;margin-left:418.4pt;margin-top:-3.45pt;width:40.65pt;height:2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" fillcolor="white [3201]" stroked="f" strokeweight=".5pt">
              <v:textbox>
                <w:txbxContent>
                  <w:p w14:paraId="538F9DBF" w14:textId="77777777" w:rsidR="0067341E" w:rsidRDefault="0067341E">
                    <w:pPr>
                      <w:rPr>
                        <w:rFonts w:ascii="Calibri" w:hAnsi="Calibri" w:cs="Calibri"/>
                        <w:sz w:val="20"/>
                        <w:szCs w:val="20"/>
                        <w:lang w:val="en-US"/>
                      </w:rPr>
                    </w:pPr>
                  </w:p>
                </w:txbxContent>
              </v:textbox>
            </v:shape>
          </w:pict>
        </mc:Fallback>
      </mc:AlternateContent>
    </w:r>
    <w:r>
      <w:rPr>
        <w:rFonts w:ascii="Calibri" w:hAnsi="Calibri" w:cs="Calibri"/>
        <w:sz w:val="18"/>
        <w:szCs w:val="18"/>
        <w:lang w:val="en-US"/>
      </w:rPr>
      <w:t>Jurnal EduLegis Vol.1 No.1 November 2025</w:t>
    </w:r>
    <w:r>
      <w:rPr>
        <w:rFonts w:ascii="Calibri" w:hAnsi="Calibri" w:cs="Calibri"/>
        <w:sz w:val="18"/>
        <w:szCs w:val="18"/>
        <w:lang w:val="en-US"/>
      </w:rPr>
      <w:tab/>
    </w:r>
    <w:r>
      <w:rPr>
        <w:rFonts w:ascii="Calibri" w:hAnsi="Calibri" w:cs="Calibri"/>
        <w:sz w:val="18"/>
        <w:szCs w:val="18"/>
        <w:lang w:val="en-US"/>
      </w:rPr>
      <w:tab/>
      <w:t>Hal.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9E91" w14:textId="77777777" w:rsidR="0067341E" w:rsidRDefault="00120FD9">
    <w:pPr>
      <w:pStyle w:val="Footer"/>
      <w:rPr>
        <w:lang w:val="en-US"/>
      </w:rPr>
    </w:pPr>
    <w:r>
      <w:rPr>
        <w:noProof/>
        <w:sz w:val="18"/>
      </w:rPr>
      <mc:AlternateContent>
        <mc:Choice Requires="wps">
          <w:drawing>
            <wp:anchor distT="0" distB="0" distL="114300" distR="114300" simplePos="0" relativeHeight="251665408" behindDoc="0" locked="0" layoutInCell="1" allowOverlap="1" wp14:anchorId="0424547C" wp14:editId="00C9C974">
              <wp:simplePos x="0" y="0"/>
              <wp:positionH relativeFrom="column">
                <wp:posOffset>5313680</wp:posOffset>
              </wp:positionH>
              <wp:positionV relativeFrom="paragraph">
                <wp:posOffset>-118110</wp:posOffset>
              </wp:positionV>
              <wp:extent cx="516255" cy="285750"/>
              <wp:effectExtent l="0" t="0" r="1905" b="3810"/>
              <wp:wrapNone/>
              <wp:docPr id="13" name="Text Box 13"/>
              <wp:cNvGraphicFramePr/>
              <a:graphic xmlns:a="http://schemas.openxmlformats.org/drawingml/2006/main">
                <a:graphicData uri="http://schemas.microsoft.com/office/word/2010/wordprocessingShape">
                  <wps:wsp>
                    <wps:cNvSpPr txBox="1"/>
                    <wps:spPr>
                      <a:xfrm>
                        <a:off x="6147435" y="10044430"/>
                        <a:ext cx="5162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B554F0D" w14:textId="77777777" w:rsidR="0067341E" w:rsidRDefault="0067341E">
                          <w:pPr>
                            <w:rPr>
                              <w:rFonts w:ascii="Calibri" w:hAnsi="Calibri" w:cs="Calibri"/>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424547C" id="_x0000_t202" coordsize="21600,21600" o:spt="202" path="m,l,21600r21600,l21600,xe">
              <v:stroke joinstyle="miter"/>
              <v:path gradientshapeok="t" o:connecttype="rect"/>
            </v:shapetype>
            <v:shape id="Text Box 13" o:spid="_x0000_s1029" type="#_x0000_t202" style="position:absolute;margin-left:418.4pt;margin-top:-9.3pt;width:40.65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" fillcolor="white [3201]" stroked="f" strokeweight=".5pt">
              <v:textbox>
                <w:txbxContent>
                  <w:p w14:paraId="2B554F0D" w14:textId="77777777" w:rsidR="0067341E" w:rsidRDefault="0067341E">
                    <w:pPr>
                      <w:rPr>
                        <w:rFonts w:ascii="Calibri" w:hAnsi="Calibri" w:cs="Calibri"/>
                        <w:sz w:val="20"/>
                        <w:szCs w:val="20"/>
                        <w:lang w:val="en-US"/>
                      </w:rPr>
                    </w:pPr>
                  </w:p>
                </w:txbxContent>
              </v:textbox>
            </v:shape>
          </w:pict>
        </mc:Fallback>
      </mc:AlternateContent>
    </w:r>
    <w:r>
      <w:rPr>
        <w:rFonts w:ascii="Calibri" w:hAnsi="Calibri" w:cs="Calibri"/>
        <w:sz w:val="18"/>
        <w:szCs w:val="18"/>
        <w:lang w:val="en-US"/>
      </w:rPr>
      <w:t>Jurnal EduLegis Vol.1 No.1 November 2025</w:t>
    </w:r>
    <w:r>
      <w:rPr>
        <w:rFonts w:ascii="Calibri" w:hAnsi="Calibri" w:cs="Calibri"/>
        <w:sz w:val="18"/>
        <w:szCs w:val="18"/>
        <w:lang w:val="en-US"/>
      </w:rPr>
      <w:tab/>
    </w:r>
    <w:r>
      <w:rPr>
        <w:rFonts w:ascii="Calibri" w:hAnsi="Calibri" w:cs="Calibri"/>
        <w:sz w:val="18"/>
        <w:szCs w:val="18"/>
        <w:lang w:val="en-US"/>
      </w:rPr>
      <w:tab/>
      <w:t>Hl.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77" w:type="pct"/>
      <w:tblInd w:w="115" w:type="dxa"/>
      <w:tblBorders>
        <w:top w:val="single" w:sz="12" w:space="0" w:color="auto"/>
      </w:tblBorders>
      <w:tblCellMar>
        <w:left w:w="115" w:type="dxa"/>
        <w:right w:w="115" w:type="dxa"/>
      </w:tblCellMar>
      <w:tblLook w:val="04A0" w:firstRow="1" w:lastRow="0" w:firstColumn="1" w:lastColumn="0" w:noHBand="0" w:noVBand="1"/>
    </w:tblPr>
    <w:tblGrid>
      <w:gridCol w:w="5244"/>
      <w:gridCol w:w="3560"/>
    </w:tblGrid>
    <w:tr w:rsidR="0067341E" w14:paraId="6241C239" w14:textId="77777777">
      <w:tc>
        <w:tcPr>
          <w:tcW w:w="2978" w:type="pct"/>
          <w:vAlign w:val="center"/>
        </w:tcPr>
        <w:p w14:paraId="2AD4C3D8" w14:textId="77777777" w:rsidR="0067341E" w:rsidRDefault="0067341E">
          <w:pPr>
            <w:pStyle w:val="Footer"/>
            <w:jc w:val="both"/>
            <w:rPr>
              <w:rFonts w:ascii="Times New Roman" w:hAnsi="Times New Roman"/>
              <w:caps/>
              <w:sz w:val="20"/>
              <w:lang w:val="en-US"/>
            </w:rPr>
          </w:pPr>
        </w:p>
      </w:tc>
      <w:tc>
        <w:tcPr>
          <w:tcW w:w="2022" w:type="pct"/>
          <w:vAlign w:val="center"/>
        </w:tcPr>
        <w:p w14:paraId="3F6A0B56" w14:textId="77777777" w:rsidR="0067341E" w:rsidRDefault="0067341E">
          <w:pPr>
            <w:pStyle w:val="Footer"/>
            <w:jc w:val="right"/>
            <w:rPr>
              <w:rFonts w:ascii="Times New Roman" w:hAnsi="Times New Roman"/>
              <w:caps/>
              <w:sz w:val="20"/>
            </w:rPr>
          </w:pPr>
        </w:p>
      </w:tc>
    </w:tr>
  </w:tbl>
  <w:p w14:paraId="0FC4F8B3" w14:textId="77777777" w:rsidR="0067341E" w:rsidRDefault="00120FD9">
    <w:pPr>
      <w:pStyle w:val="Footer"/>
      <w:rPr>
        <w:rFonts w:ascii="Calibri" w:hAnsi="Calibri" w:cs="Calibri"/>
        <w:sz w:val="18"/>
        <w:szCs w:val="18"/>
        <w:lang w:val="en-US"/>
      </w:rPr>
    </w:pPr>
    <w:r>
      <w:rPr>
        <w:rFonts w:ascii="Calibri" w:hAnsi="Calibri" w:cs="Calibri"/>
        <w:sz w:val="18"/>
        <w:szCs w:val="18"/>
        <w:lang w:val="en-US"/>
      </w:rPr>
      <w:t>Jurnal EduLegis Vol.1 No.1 November 2025</w:t>
    </w:r>
    <w:r>
      <w:rPr>
        <w:rFonts w:ascii="Calibri" w:hAnsi="Calibri" w:cs="Calibri"/>
        <w:sz w:val="18"/>
        <w:szCs w:val="18"/>
        <w:lang w:val="en-US"/>
      </w:rPr>
      <w:tab/>
    </w:r>
    <w:r>
      <w:rPr>
        <w:rFonts w:ascii="Calibri" w:hAnsi="Calibri" w:cs="Calibri"/>
        <w:sz w:val="18"/>
        <w:szCs w:val="1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3C789" w14:textId="77777777" w:rsidR="004D3351" w:rsidRDefault="004D3351">
      <w:pPr>
        <w:spacing w:after="0"/>
      </w:pPr>
      <w:r>
        <w:separator/>
      </w:r>
    </w:p>
  </w:footnote>
  <w:footnote w:type="continuationSeparator" w:id="0">
    <w:p w14:paraId="724A8B2A" w14:textId="77777777" w:rsidR="004D3351" w:rsidRDefault="004D33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0F7B1" w14:textId="77777777" w:rsidR="0067341E" w:rsidRDefault="00120FD9">
    <w:pPr>
      <w:pStyle w:val="Header"/>
      <w:rPr>
        <w:rFonts w:ascii="Centaur" w:hAnsi="Centaur"/>
        <w:sz w:val="13"/>
        <w:szCs w:val="13"/>
      </w:rPr>
    </w:pPr>
    <w:r>
      <w:rPr>
        <w:noProof/>
      </w:rPr>
      <w:drawing>
        <wp:anchor distT="0" distB="0" distL="114300" distR="114300" simplePos="0" relativeHeight="251663360" behindDoc="1" locked="0" layoutInCell="1" allowOverlap="1" wp14:anchorId="6F504B19" wp14:editId="765DEEC5">
          <wp:simplePos x="0" y="0"/>
          <wp:positionH relativeFrom="column">
            <wp:posOffset>-347345</wp:posOffset>
          </wp:positionH>
          <wp:positionV relativeFrom="paragraph">
            <wp:posOffset>-127635</wp:posOffset>
          </wp:positionV>
          <wp:extent cx="3397885" cy="934720"/>
          <wp:effectExtent l="0" t="0" r="635" b="10160"/>
          <wp:wrapTight wrapText="bothSides">
            <wp:wrapPolygon edited="0">
              <wp:start x="0" y="0"/>
              <wp:lineTo x="0" y="21130"/>
              <wp:lineTo x="21507" y="21130"/>
              <wp:lineTo x="21507"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pic:cNvPicPr>
                </pic:nvPicPr>
                <pic:blipFill>
                  <a:blip r:embed="rId1"/>
                  <a:srcRect l="21701" t="35536" r="49080" b="48273"/>
                  <a:stretch>
                    <a:fillRect/>
                  </a:stretch>
                </pic:blipFill>
                <pic:spPr>
                  <a:xfrm>
                    <a:off x="0" y="0"/>
                    <a:ext cx="3397885" cy="934720"/>
                  </a:xfrm>
                  <a:prstGeom prst="rect">
                    <a:avLst/>
                  </a:prstGeom>
                  <a:noFill/>
                  <a:ln>
                    <a:noFill/>
                  </a:ln>
                </pic:spPr>
              </pic:pic>
            </a:graphicData>
          </a:graphic>
        </wp:anchor>
      </w:drawing>
    </w:r>
  </w:p>
  <w:p w14:paraId="4CDB0389" w14:textId="77777777" w:rsidR="0067341E" w:rsidRDefault="00120FD9">
    <w:pPr>
      <w:pStyle w:val="Header"/>
      <w:rPr>
        <w:rFonts w:ascii="Centaur" w:hAnsi="Centaur"/>
        <w:sz w:val="13"/>
        <w:szCs w:val="13"/>
      </w:rPr>
    </w:pPr>
    <w:r>
      <w:rPr>
        <w:noProof/>
        <w:sz w:val="32"/>
      </w:rPr>
      <mc:AlternateContent>
        <mc:Choice Requires="wps">
          <w:drawing>
            <wp:anchor distT="0" distB="0" distL="114300" distR="114300" simplePos="0" relativeHeight="251664384" behindDoc="1" locked="0" layoutInCell="1" allowOverlap="1" wp14:anchorId="0C9E02F7" wp14:editId="24E479E6">
              <wp:simplePos x="0" y="0"/>
              <wp:positionH relativeFrom="column">
                <wp:posOffset>3395345</wp:posOffset>
              </wp:positionH>
              <wp:positionV relativeFrom="paragraph">
                <wp:posOffset>24130</wp:posOffset>
              </wp:positionV>
              <wp:extent cx="2362200" cy="548640"/>
              <wp:effectExtent l="0" t="0" r="0" b="0"/>
              <wp:wrapTight wrapText="bothSides">
                <wp:wrapPolygon edited="0">
                  <wp:start x="0" y="0"/>
                  <wp:lineTo x="0" y="21000"/>
                  <wp:lineTo x="21461" y="21000"/>
                  <wp:lineTo x="21461" y="0"/>
                  <wp:lineTo x="0" y="0"/>
                </wp:wrapPolygon>
              </wp:wrapTight>
              <wp:docPr id="10" name="Text Box 10"/>
              <wp:cNvGraphicFramePr/>
              <a:graphic xmlns:a="http://schemas.openxmlformats.org/drawingml/2006/main">
                <a:graphicData uri="http://schemas.microsoft.com/office/word/2010/wordprocessingShape">
                  <wps:wsp>
                    <wps:cNvSpPr txBox="1"/>
                    <wps:spPr>
                      <a:xfrm>
                        <a:off x="0" y="0"/>
                        <a:ext cx="2362200" cy="5486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1A3054F" w14:textId="77777777" w:rsidR="0067341E" w:rsidRDefault="00120FD9">
                          <w:pPr>
                            <w:wordWrap w:val="0"/>
                            <w:spacing w:after="0" w:line="260" w:lineRule="auto"/>
                            <w:jc w:val="right"/>
                            <w:rPr>
                              <w:b/>
                              <w:bCs/>
                              <w:color w:val="C00000"/>
                              <w:lang w:val="en-US"/>
                            </w:rPr>
                          </w:pPr>
                          <w:r>
                            <w:rPr>
                              <w:b/>
                              <w:bCs/>
                              <w:color w:val="C00000"/>
                              <w:lang w:val="en-US"/>
                            </w:rPr>
                            <w:t>Journal of Legal Studies</w:t>
                          </w:r>
                        </w:p>
                        <w:p w14:paraId="360F6EE2" w14:textId="77777777" w:rsidR="0067341E" w:rsidRDefault="00120FD9">
                          <w:pPr>
                            <w:wordWrap w:val="0"/>
                            <w:spacing w:after="0" w:line="260" w:lineRule="auto"/>
                            <w:jc w:val="right"/>
                            <w:rPr>
                              <w:b/>
                              <w:bCs/>
                              <w:color w:val="C00000"/>
                              <w:lang w:val="en-US"/>
                            </w:rPr>
                          </w:pPr>
                          <w:r>
                            <w:rPr>
                              <w:b/>
                              <w:bCs/>
                              <w:color w:val="C00000"/>
                              <w:lang w:val="en-US"/>
                            </w:rPr>
                            <w:t>University of Jakarta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C9E02F7" id="_x0000_t202" coordsize="21600,21600" o:spt="202" path="m,l,21600r21600,l21600,xe">
              <v:stroke joinstyle="miter"/>
              <v:path gradientshapeok="t" o:connecttype="rect"/>
            </v:shapetype>
            <v:shape id="Text Box 10" o:spid="_x0000_s1026" type="#_x0000_t202" style="position:absolute;margin-left:267.35pt;margin-top:1.9pt;width:186pt;height:43.2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" fillcolor="white [3201]" stroked="f" strokeweight=".5pt">
              <v:textbox>
                <w:txbxContent>
                  <w:p w14:paraId="11A3054F" w14:textId="77777777" w:rsidR="0067341E" w:rsidRDefault="00120FD9">
                    <w:pPr>
                      <w:wordWrap w:val="0"/>
                      <w:spacing w:after="0" w:line="260" w:lineRule="auto"/>
                      <w:jc w:val="right"/>
                      <w:rPr>
                        <w:b/>
                        <w:bCs/>
                        <w:color w:val="C00000"/>
                        <w:lang w:val="en-US"/>
                      </w:rPr>
                    </w:pPr>
                    <w:r>
                      <w:rPr>
                        <w:b/>
                        <w:bCs/>
                        <w:color w:val="C00000"/>
                        <w:lang w:val="en-US"/>
                      </w:rPr>
                      <w:t>Journal of Legal Studies</w:t>
                    </w:r>
                  </w:p>
                  <w:p w14:paraId="360F6EE2" w14:textId="77777777" w:rsidR="0067341E" w:rsidRDefault="00120FD9">
                    <w:pPr>
                      <w:wordWrap w:val="0"/>
                      <w:spacing w:after="0" w:line="260" w:lineRule="auto"/>
                      <w:jc w:val="right"/>
                      <w:rPr>
                        <w:b/>
                        <w:bCs/>
                        <w:color w:val="C00000"/>
                        <w:lang w:val="en-US"/>
                      </w:rPr>
                    </w:pPr>
                    <w:r>
                      <w:rPr>
                        <w:b/>
                        <w:bCs/>
                        <w:color w:val="C00000"/>
                        <w:lang w:val="en-US"/>
                      </w:rPr>
                      <w:t>University of Jakarta</w:t>
                    </w:r>
                  </w:p>
                </w:txbxContent>
              </v:textbox>
              <w10:wrap type="tight"/>
            </v:shape>
          </w:pict>
        </mc:Fallback>
      </mc:AlternateContent>
    </w:r>
  </w:p>
  <w:p w14:paraId="09238E7E" w14:textId="77777777" w:rsidR="0067341E" w:rsidRDefault="0067341E">
    <w:pPr>
      <w:pStyle w:val="Header"/>
      <w:rPr>
        <w:rFonts w:ascii="Centaur" w:hAnsi="Centaur"/>
        <w:sz w:val="13"/>
        <w:szCs w:val="13"/>
      </w:rPr>
    </w:pPr>
  </w:p>
  <w:p w14:paraId="341E2495" w14:textId="77777777" w:rsidR="0067341E" w:rsidRDefault="0067341E">
    <w:pPr>
      <w:pStyle w:val="Header"/>
      <w:rPr>
        <w:rFonts w:ascii="Centaur" w:hAnsi="Centaur"/>
        <w:sz w:val="13"/>
        <w:szCs w:val="13"/>
      </w:rPr>
    </w:pPr>
  </w:p>
  <w:p w14:paraId="036E3370" w14:textId="77777777" w:rsidR="0067341E" w:rsidRDefault="0067341E">
    <w:pPr>
      <w:pStyle w:val="Header"/>
      <w:rPr>
        <w:rFonts w:ascii="Centaur" w:hAnsi="Centaur"/>
        <w:sz w:val="13"/>
        <w:szCs w:val="13"/>
      </w:rPr>
    </w:pPr>
  </w:p>
  <w:p w14:paraId="35B7F1DB" w14:textId="77777777" w:rsidR="0067341E" w:rsidRDefault="0067341E">
    <w:pPr>
      <w:pStyle w:val="Header"/>
      <w:rPr>
        <w:rFonts w:ascii="Centaur" w:hAnsi="Centaur"/>
        <w:sz w:val="13"/>
        <w:szCs w:val="13"/>
      </w:rPr>
    </w:pPr>
  </w:p>
  <w:p w14:paraId="6CC631CD" w14:textId="77777777" w:rsidR="0067341E" w:rsidRDefault="0067341E">
    <w:pPr>
      <w:pStyle w:val="Header"/>
      <w:rPr>
        <w:rFonts w:ascii="Centaur" w:hAnsi="Centaur"/>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BC95" w14:textId="77777777" w:rsidR="0067341E" w:rsidRDefault="00120FD9">
    <w:pPr>
      <w:pStyle w:val="Headerdepan"/>
      <w:tabs>
        <w:tab w:val="clear" w:pos="4513"/>
      </w:tabs>
      <w:spacing w:before="120"/>
      <w:jc w:val="left"/>
      <w:rPr>
        <w:rFonts w:ascii="Centaur" w:hAnsi="Centaur"/>
        <w:sz w:val="22"/>
      </w:rPr>
    </w:pPr>
    <w:r>
      <w:rPr>
        <w:noProof/>
      </w:rPr>
      <mc:AlternateContent>
        <mc:Choice Requires="wps">
          <w:drawing>
            <wp:anchor distT="0" distB="0" distL="114300" distR="114300" simplePos="0" relativeHeight="251662336" behindDoc="0" locked="0" layoutInCell="1" allowOverlap="1" wp14:anchorId="6C2540EC" wp14:editId="6C388BCD">
              <wp:simplePos x="0" y="0"/>
              <wp:positionH relativeFrom="column">
                <wp:posOffset>3434715</wp:posOffset>
              </wp:positionH>
              <wp:positionV relativeFrom="paragraph">
                <wp:posOffset>201295</wp:posOffset>
              </wp:positionV>
              <wp:extent cx="2362200" cy="548640"/>
              <wp:effectExtent l="0" t="0" r="0" b="0"/>
              <wp:wrapNone/>
              <wp:docPr id="9" name="Text Box 9"/>
              <wp:cNvGraphicFramePr/>
              <a:graphic xmlns:a="http://schemas.openxmlformats.org/drawingml/2006/main">
                <a:graphicData uri="http://schemas.microsoft.com/office/word/2010/wordprocessingShape">
                  <wps:wsp>
                    <wps:cNvSpPr txBox="1"/>
                    <wps:spPr>
                      <a:xfrm>
                        <a:off x="0" y="0"/>
                        <a:ext cx="2362200" cy="5486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458A3AC" w14:textId="77777777" w:rsidR="0067341E" w:rsidRDefault="00120FD9">
                          <w:pPr>
                            <w:wordWrap w:val="0"/>
                            <w:spacing w:after="0" w:line="260" w:lineRule="auto"/>
                            <w:jc w:val="right"/>
                            <w:rPr>
                              <w:b/>
                              <w:bCs/>
                              <w:color w:val="C00000"/>
                              <w:lang w:val="en-US"/>
                            </w:rPr>
                          </w:pPr>
                          <w:r>
                            <w:rPr>
                              <w:b/>
                              <w:bCs/>
                              <w:color w:val="C00000"/>
                              <w:lang w:val="en-US"/>
                            </w:rPr>
                            <w:t>Journal of Legal Studies</w:t>
                          </w:r>
                        </w:p>
                        <w:p w14:paraId="378BE5B6" w14:textId="77777777" w:rsidR="0067341E" w:rsidRDefault="00120FD9">
                          <w:pPr>
                            <w:wordWrap w:val="0"/>
                            <w:spacing w:after="0" w:line="260" w:lineRule="auto"/>
                            <w:jc w:val="right"/>
                            <w:rPr>
                              <w:b/>
                              <w:bCs/>
                              <w:color w:val="C00000"/>
                              <w:lang w:val="en-US"/>
                            </w:rPr>
                          </w:pPr>
                          <w:r>
                            <w:rPr>
                              <w:b/>
                              <w:bCs/>
                              <w:color w:val="C00000"/>
                              <w:lang w:val="en-US"/>
                            </w:rPr>
                            <w:t>University of Jakarta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C2540EC" id="_x0000_t202" coordsize="21600,21600" o:spt="202" path="m,l,21600r21600,l21600,xe">
              <v:stroke joinstyle="miter"/>
              <v:path gradientshapeok="t" o:connecttype="rect"/>
            </v:shapetype>
            <v:shape id="Text Box 9" o:spid="_x0000_s1027" type="#_x0000_t202" style="position:absolute;margin-left:270.45pt;margin-top:15.85pt;width:186pt;height:43.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" fillcolor="white [3201]" stroked="f" strokeweight=".5pt">
              <v:textbox>
                <w:txbxContent>
                  <w:p w14:paraId="6458A3AC" w14:textId="77777777" w:rsidR="0067341E" w:rsidRDefault="00120FD9">
                    <w:pPr>
                      <w:wordWrap w:val="0"/>
                      <w:spacing w:after="0" w:line="260" w:lineRule="auto"/>
                      <w:jc w:val="right"/>
                      <w:rPr>
                        <w:b/>
                        <w:bCs/>
                        <w:color w:val="C00000"/>
                        <w:lang w:val="en-US"/>
                      </w:rPr>
                    </w:pPr>
                    <w:r>
                      <w:rPr>
                        <w:b/>
                        <w:bCs/>
                        <w:color w:val="C00000"/>
                        <w:lang w:val="en-US"/>
                      </w:rPr>
                      <w:t>Journal of Legal Studies</w:t>
                    </w:r>
                  </w:p>
                  <w:p w14:paraId="378BE5B6" w14:textId="77777777" w:rsidR="0067341E" w:rsidRDefault="00120FD9">
                    <w:pPr>
                      <w:wordWrap w:val="0"/>
                      <w:spacing w:after="0" w:line="260" w:lineRule="auto"/>
                      <w:jc w:val="right"/>
                      <w:rPr>
                        <w:b/>
                        <w:bCs/>
                        <w:color w:val="C00000"/>
                        <w:lang w:val="en-US"/>
                      </w:rPr>
                    </w:pPr>
                    <w:r>
                      <w:rPr>
                        <w:b/>
                        <w:bCs/>
                        <w:color w:val="C00000"/>
                        <w:lang w:val="en-US"/>
                      </w:rPr>
                      <w:t>University of Jakarta</w:t>
                    </w:r>
                  </w:p>
                </w:txbxContent>
              </v:textbox>
            </v:shape>
          </w:pict>
        </mc:Fallback>
      </mc:AlternateContent>
    </w:r>
    <w:r>
      <w:rPr>
        <w:noProof/>
      </w:rPr>
      <w:drawing>
        <wp:anchor distT="0" distB="0" distL="114300" distR="114300" simplePos="0" relativeHeight="251661312" behindDoc="1" locked="0" layoutInCell="1" allowOverlap="1" wp14:anchorId="5058313B" wp14:editId="626584B7">
          <wp:simplePos x="0" y="0"/>
          <wp:positionH relativeFrom="column">
            <wp:posOffset>-38735</wp:posOffset>
          </wp:positionH>
          <wp:positionV relativeFrom="paragraph">
            <wp:posOffset>-111125</wp:posOffset>
          </wp:positionV>
          <wp:extent cx="3397885" cy="934720"/>
          <wp:effectExtent l="0" t="0" r="635" b="1016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1"/>
                  <a:srcRect l="21701" t="35536" r="49080" b="48273"/>
                  <a:stretch>
                    <a:fillRect/>
                  </a:stretch>
                </pic:blipFill>
                <pic:spPr>
                  <a:xfrm>
                    <a:off x="0" y="0"/>
                    <a:ext cx="3397885" cy="934720"/>
                  </a:xfrm>
                  <a:prstGeom prst="rect">
                    <a:avLst/>
                  </a:prstGeom>
                  <a:noFill/>
                  <a:ln>
                    <a:noFill/>
                  </a:ln>
                </pic:spPr>
              </pic:pic>
            </a:graphicData>
          </a:graphic>
        </wp:anchor>
      </w:drawing>
    </w:r>
    <w:r>
      <w:rPr>
        <w:rFonts w:ascii="Centaur" w:hAnsi="Centaur"/>
        <w:sz w:val="22"/>
      </w:rPr>
      <w:tab/>
    </w:r>
  </w:p>
  <w:p w14:paraId="73F273BF" w14:textId="77777777" w:rsidR="0067341E" w:rsidRDefault="0067341E">
    <w:pPr>
      <w:pStyle w:val="Headerdepan"/>
      <w:tabs>
        <w:tab w:val="clear" w:pos="4513"/>
      </w:tabs>
      <w:spacing w:before="120"/>
      <w:jc w:val="left"/>
      <w:rPr>
        <w:rFonts w:ascii="Centaur" w:hAnsi="Centaur"/>
        <w:sz w:val="22"/>
      </w:rPr>
    </w:pPr>
  </w:p>
  <w:p w14:paraId="374F5B80" w14:textId="77777777" w:rsidR="0067341E" w:rsidRDefault="0067341E">
    <w:pPr>
      <w:pStyle w:val="Headerdepan"/>
      <w:tabs>
        <w:tab w:val="clear" w:pos="4513"/>
      </w:tabs>
      <w:spacing w:before="120"/>
      <w:jc w:val="left"/>
      <w:rPr>
        <w:rFonts w:ascii="Centaur" w:hAnsi="Centau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8E90A" w14:textId="77777777" w:rsidR="0067341E" w:rsidRDefault="00120FD9">
    <w:pPr>
      <w:pStyle w:val="Headerdepan"/>
      <w:spacing w:before="120"/>
      <w:jc w:val="left"/>
      <w:rPr>
        <w:lang w:val="it-IT"/>
      </w:rPr>
    </w:pPr>
    <w:r>
      <w:rPr>
        <w:noProof/>
      </w:rPr>
      <w:drawing>
        <wp:anchor distT="0" distB="0" distL="114300" distR="114300" simplePos="0" relativeHeight="251659264" behindDoc="1" locked="0" layoutInCell="1" allowOverlap="1" wp14:anchorId="584227A7" wp14:editId="7CF81A91">
          <wp:simplePos x="0" y="0"/>
          <wp:positionH relativeFrom="column">
            <wp:posOffset>-69215</wp:posOffset>
          </wp:positionH>
          <wp:positionV relativeFrom="paragraph">
            <wp:posOffset>122555</wp:posOffset>
          </wp:positionV>
          <wp:extent cx="3397885" cy="934720"/>
          <wp:effectExtent l="0" t="0" r="635" b="1016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
                  <a:srcRect l="21701" t="35536" r="49080" b="48273"/>
                  <a:stretch>
                    <a:fillRect/>
                  </a:stretch>
                </pic:blipFill>
                <pic:spPr>
                  <a:xfrm>
                    <a:off x="0" y="0"/>
                    <a:ext cx="3397885" cy="934720"/>
                  </a:xfrm>
                  <a:prstGeom prst="rect">
                    <a:avLst/>
                  </a:prstGeom>
                  <a:noFill/>
                  <a:ln>
                    <a:noFill/>
                  </a:ln>
                </pic:spPr>
              </pic:pic>
            </a:graphicData>
          </a:graphic>
        </wp:anchor>
      </w:drawing>
    </w:r>
  </w:p>
  <w:p w14:paraId="74A0F853" w14:textId="77777777" w:rsidR="0067341E" w:rsidRDefault="00120FD9">
    <w:pPr>
      <w:pStyle w:val="Headerdepan"/>
      <w:spacing w:before="120"/>
      <w:jc w:val="left"/>
      <w:rPr>
        <w:lang w:val="it-IT"/>
      </w:rPr>
    </w:pPr>
    <w:r>
      <w:rPr>
        <w:noProof/>
      </w:rPr>
      <mc:AlternateContent>
        <mc:Choice Requires="wps">
          <w:drawing>
            <wp:anchor distT="0" distB="0" distL="114300" distR="114300" simplePos="0" relativeHeight="251660288" behindDoc="0" locked="0" layoutInCell="1" allowOverlap="1" wp14:anchorId="55201D5E" wp14:editId="4C13802E">
              <wp:simplePos x="0" y="0"/>
              <wp:positionH relativeFrom="column">
                <wp:posOffset>3434715</wp:posOffset>
              </wp:positionH>
              <wp:positionV relativeFrom="paragraph">
                <wp:posOffset>48260</wp:posOffset>
              </wp:positionV>
              <wp:extent cx="2362200" cy="548640"/>
              <wp:effectExtent l="0" t="0" r="0" b="0"/>
              <wp:wrapNone/>
              <wp:docPr id="5" name="Text Box 5"/>
              <wp:cNvGraphicFramePr/>
              <a:graphic xmlns:a="http://schemas.openxmlformats.org/drawingml/2006/main">
                <a:graphicData uri="http://schemas.microsoft.com/office/word/2010/wordprocessingShape">
                  <wps:wsp>
                    <wps:cNvSpPr txBox="1"/>
                    <wps:spPr>
                      <a:xfrm>
                        <a:off x="0" y="0"/>
                        <a:ext cx="2362200" cy="5486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329472B" w14:textId="77777777" w:rsidR="0067341E" w:rsidRDefault="00120FD9">
                          <w:pPr>
                            <w:wordWrap w:val="0"/>
                            <w:spacing w:after="0" w:line="260" w:lineRule="auto"/>
                            <w:jc w:val="right"/>
                            <w:rPr>
                              <w:b/>
                              <w:bCs/>
                              <w:color w:val="C00000"/>
                              <w:lang w:val="en-US"/>
                            </w:rPr>
                          </w:pPr>
                          <w:r>
                            <w:rPr>
                              <w:b/>
                              <w:bCs/>
                              <w:color w:val="C00000"/>
                              <w:lang w:val="en-US"/>
                            </w:rPr>
                            <w:t>Journal of Legal Studies</w:t>
                          </w:r>
                        </w:p>
                        <w:p w14:paraId="019C0A07" w14:textId="77777777" w:rsidR="0067341E" w:rsidRDefault="00120FD9">
                          <w:pPr>
                            <w:wordWrap w:val="0"/>
                            <w:spacing w:after="0" w:line="260" w:lineRule="auto"/>
                            <w:jc w:val="right"/>
                            <w:rPr>
                              <w:b/>
                              <w:bCs/>
                              <w:color w:val="C00000"/>
                              <w:lang w:val="en-US"/>
                            </w:rPr>
                          </w:pPr>
                          <w:r>
                            <w:rPr>
                              <w:b/>
                              <w:bCs/>
                              <w:color w:val="C00000"/>
                              <w:lang w:val="en-US"/>
                            </w:rPr>
                            <w:t>University of Jakarta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5201D5E" id="_x0000_t202" coordsize="21600,21600" o:spt="202" path="m,l,21600r21600,l21600,xe">
              <v:stroke joinstyle="miter"/>
              <v:path gradientshapeok="t" o:connecttype="rect"/>
            </v:shapetype>
            <v:shape id="Text Box 5" o:spid="_x0000_s1030" type="#_x0000_t202" style="position:absolute;margin-left:270.45pt;margin-top:3.8pt;width:186pt;height:43.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" fillcolor="white [3201]" stroked="f" strokeweight=".5pt">
              <v:textbox>
                <w:txbxContent>
                  <w:p w14:paraId="2329472B" w14:textId="77777777" w:rsidR="0067341E" w:rsidRDefault="00120FD9">
                    <w:pPr>
                      <w:wordWrap w:val="0"/>
                      <w:spacing w:after="0" w:line="260" w:lineRule="auto"/>
                      <w:jc w:val="right"/>
                      <w:rPr>
                        <w:b/>
                        <w:bCs/>
                        <w:color w:val="C00000"/>
                        <w:lang w:val="en-US"/>
                      </w:rPr>
                    </w:pPr>
                    <w:r>
                      <w:rPr>
                        <w:b/>
                        <w:bCs/>
                        <w:color w:val="C00000"/>
                        <w:lang w:val="en-US"/>
                      </w:rPr>
                      <w:t>Journal of Legal Studies</w:t>
                    </w:r>
                  </w:p>
                  <w:p w14:paraId="019C0A07" w14:textId="77777777" w:rsidR="0067341E" w:rsidRDefault="00120FD9">
                    <w:pPr>
                      <w:wordWrap w:val="0"/>
                      <w:spacing w:after="0" w:line="260" w:lineRule="auto"/>
                      <w:jc w:val="right"/>
                      <w:rPr>
                        <w:b/>
                        <w:bCs/>
                        <w:color w:val="C00000"/>
                        <w:lang w:val="en-US"/>
                      </w:rPr>
                    </w:pPr>
                    <w:r>
                      <w:rPr>
                        <w:b/>
                        <w:bCs/>
                        <w:color w:val="C00000"/>
                        <w:lang w:val="en-US"/>
                      </w:rPr>
                      <w:t>University of Jakarta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C6FFB"/>
    <w:multiLevelType w:val="multilevel"/>
    <w:tmpl w:val="62CC6FFB"/>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7A0"/>
    <w:rsid w:val="000029A4"/>
    <w:rsid w:val="00007455"/>
    <w:rsid w:val="000143DA"/>
    <w:rsid w:val="000205C3"/>
    <w:rsid w:val="0002433D"/>
    <w:rsid w:val="00026220"/>
    <w:rsid w:val="00026C8F"/>
    <w:rsid w:val="0003072A"/>
    <w:rsid w:val="00041556"/>
    <w:rsid w:val="00047A74"/>
    <w:rsid w:val="00060431"/>
    <w:rsid w:val="0006472E"/>
    <w:rsid w:val="0007310B"/>
    <w:rsid w:val="00074ECC"/>
    <w:rsid w:val="00080355"/>
    <w:rsid w:val="000858E0"/>
    <w:rsid w:val="000A3C5C"/>
    <w:rsid w:val="000A6823"/>
    <w:rsid w:val="000B0E22"/>
    <w:rsid w:val="000C16F1"/>
    <w:rsid w:val="000D1AF7"/>
    <w:rsid w:val="000E2EF5"/>
    <w:rsid w:val="000E57E8"/>
    <w:rsid w:val="0010128A"/>
    <w:rsid w:val="001140CC"/>
    <w:rsid w:val="00115044"/>
    <w:rsid w:val="001157C3"/>
    <w:rsid w:val="00116853"/>
    <w:rsid w:val="00120FD9"/>
    <w:rsid w:val="0013771B"/>
    <w:rsid w:val="0014241C"/>
    <w:rsid w:val="00142564"/>
    <w:rsid w:val="00144E25"/>
    <w:rsid w:val="00145B96"/>
    <w:rsid w:val="001474C2"/>
    <w:rsid w:val="0015109A"/>
    <w:rsid w:val="00163462"/>
    <w:rsid w:val="00170850"/>
    <w:rsid w:val="001724BB"/>
    <w:rsid w:val="00174C3F"/>
    <w:rsid w:val="001752C0"/>
    <w:rsid w:val="001800AB"/>
    <w:rsid w:val="00183AA9"/>
    <w:rsid w:val="001853C9"/>
    <w:rsid w:val="00192F40"/>
    <w:rsid w:val="00197198"/>
    <w:rsid w:val="001A22B9"/>
    <w:rsid w:val="001A46B7"/>
    <w:rsid w:val="001B0555"/>
    <w:rsid w:val="001B19E1"/>
    <w:rsid w:val="001B3333"/>
    <w:rsid w:val="001C6C6C"/>
    <w:rsid w:val="001E0154"/>
    <w:rsid w:val="001E625C"/>
    <w:rsid w:val="002163F2"/>
    <w:rsid w:val="0022665C"/>
    <w:rsid w:val="00227275"/>
    <w:rsid w:val="00242117"/>
    <w:rsid w:val="002433E0"/>
    <w:rsid w:val="00254292"/>
    <w:rsid w:val="00260416"/>
    <w:rsid w:val="00264474"/>
    <w:rsid w:val="00266995"/>
    <w:rsid w:val="002765D2"/>
    <w:rsid w:val="00277148"/>
    <w:rsid w:val="002813E5"/>
    <w:rsid w:val="002857A0"/>
    <w:rsid w:val="00286244"/>
    <w:rsid w:val="00292730"/>
    <w:rsid w:val="002A4070"/>
    <w:rsid w:val="002A72AE"/>
    <w:rsid w:val="002B04D2"/>
    <w:rsid w:val="002C1922"/>
    <w:rsid w:val="002C4CB5"/>
    <w:rsid w:val="002D3476"/>
    <w:rsid w:val="002E10BD"/>
    <w:rsid w:val="002E740C"/>
    <w:rsid w:val="002F3633"/>
    <w:rsid w:val="00302AE6"/>
    <w:rsid w:val="00304559"/>
    <w:rsid w:val="00312694"/>
    <w:rsid w:val="0032037E"/>
    <w:rsid w:val="00344725"/>
    <w:rsid w:val="00350467"/>
    <w:rsid w:val="003530E0"/>
    <w:rsid w:val="00353D5C"/>
    <w:rsid w:val="00374879"/>
    <w:rsid w:val="00377903"/>
    <w:rsid w:val="00397762"/>
    <w:rsid w:val="003A20E0"/>
    <w:rsid w:val="003A264E"/>
    <w:rsid w:val="003A4502"/>
    <w:rsid w:val="003A6F1F"/>
    <w:rsid w:val="003C1612"/>
    <w:rsid w:val="003C22EB"/>
    <w:rsid w:val="003C6333"/>
    <w:rsid w:val="003D03BC"/>
    <w:rsid w:val="003D0E0D"/>
    <w:rsid w:val="003D3443"/>
    <w:rsid w:val="003E6891"/>
    <w:rsid w:val="003F5C63"/>
    <w:rsid w:val="003F6797"/>
    <w:rsid w:val="004038BE"/>
    <w:rsid w:val="004078DA"/>
    <w:rsid w:val="0041432E"/>
    <w:rsid w:val="004144CA"/>
    <w:rsid w:val="00425579"/>
    <w:rsid w:val="004277E0"/>
    <w:rsid w:val="00441E4A"/>
    <w:rsid w:val="00452179"/>
    <w:rsid w:val="00452B08"/>
    <w:rsid w:val="00473178"/>
    <w:rsid w:val="004810B4"/>
    <w:rsid w:val="00481E47"/>
    <w:rsid w:val="00483D22"/>
    <w:rsid w:val="004B0497"/>
    <w:rsid w:val="004B28E5"/>
    <w:rsid w:val="004B3CE3"/>
    <w:rsid w:val="004C7B80"/>
    <w:rsid w:val="004D3351"/>
    <w:rsid w:val="004D3640"/>
    <w:rsid w:val="004D5322"/>
    <w:rsid w:val="004D581A"/>
    <w:rsid w:val="004D5AC5"/>
    <w:rsid w:val="004D5BFC"/>
    <w:rsid w:val="004E62CC"/>
    <w:rsid w:val="0050559F"/>
    <w:rsid w:val="00506B82"/>
    <w:rsid w:val="0051549C"/>
    <w:rsid w:val="005373BE"/>
    <w:rsid w:val="00540A73"/>
    <w:rsid w:val="0054235E"/>
    <w:rsid w:val="005438BC"/>
    <w:rsid w:val="00556C01"/>
    <w:rsid w:val="00556D09"/>
    <w:rsid w:val="005604BC"/>
    <w:rsid w:val="0056070F"/>
    <w:rsid w:val="0057489B"/>
    <w:rsid w:val="00575A40"/>
    <w:rsid w:val="00576EA4"/>
    <w:rsid w:val="00590E69"/>
    <w:rsid w:val="00594460"/>
    <w:rsid w:val="005C0CDA"/>
    <w:rsid w:val="005D2DE3"/>
    <w:rsid w:val="005D6839"/>
    <w:rsid w:val="005D7397"/>
    <w:rsid w:val="005E0DD0"/>
    <w:rsid w:val="005E34DF"/>
    <w:rsid w:val="005E51B3"/>
    <w:rsid w:val="005E63B6"/>
    <w:rsid w:val="005F5D11"/>
    <w:rsid w:val="00601F6A"/>
    <w:rsid w:val="006022FD"/>
    <w:rsid w:val="00603196"/>
    <w:rsid w:val="006054AA"/>
    <w:rsid w:val="006060B3"/>
    <w:rsid w:val="00607AA1"/>
    <w:rsid w:val="00610250"/>
    <w:rsid w:val="0061717A"/>
    <w:rsid w:val="00635621"/>
    <w:rsid w:val="00652C9E"/>
    <w:rsid w:val="006602A4"/>
    <w:rsid w:val="00661738"/>
    <w:rsid w:val="0067341E"/>
    <w:rsid w:val="00675082"/>
    <w:rsid w:val="00676E1B"/>
    <w:rsid w:val="0067731F"/>
    <w:rsid w:val="00695092"/>
    <w:rsid w:val="006957B7"/>
    <w:rsid w:val="006A25EF"/>
    <w:rsid w:val="006A5547"/>
    <w:rsid w:val="006A77AF"/>
    <w:rsid w:val="006B4D16"/>
    <w:rsid w:val="006C0570"/>
    <w:rsid w:val="006C37A7"/>
    <w:rsid w:val="006C773B"/>
    <w:rsid w:val="006D015A"/>
    <w:rsid w:val="006D556F"/>
    <w:rsid w:val="006D5ED4"/>
    <w:rsid w:val="006E2AE2"/>
    <w:rsid w:val="006E6D02"/>
    <w:rsid w:val="006F27FE"/>
    <w:rsid w:val="006F6E8A"/>
    <w:rsid w:val="00701E96"/>
    <w:rsid w:val="00707045"/>
    <w:rsid w:val="00713F81"/>
    <w:rsid w:val="00721CCC"/>
    <w:rsid w:val="00727149"/>
    <w:rsid w:val="0072725E"/>
    <w:rsid w:val="00737818"/>
    <w:rsid w:val="007410C7"/>
    <w:rsid w:val="00751C25"/>
    <w:rsid w:val="0075431A"/>
    <w:rsid w:val="00763686"/>
    <w:rsid w:val="00765527"/>
    <w:rsid w:val="00770E71"/>
    <w:rsid w:val="007834C1"/>
    <w:rsid w:val="0079395F"/>
    <w:rsid w:val="00794679"/>
    <w:rsid w:val="0079468F"/>
    <w:rsid w:val="007C4323"/>
    <w:rsid w:val="007C4FCD"/>
    <w:rsid w:val="007C5BD2"/>
    <w:rsid w:val="007D4517"/>
    <w:rsid w:val="007E2167"/>
    <w:rsid w:val="007E7385"/>
    <w:rsid w:val="007F2203"/>
    <w:rsid w:val="00802860"/>
    <w:rsid w:val="008054F5"/>
    <w:rsid w:val="00810972"/>
    <w:rsid w:val="0081607B"/>
    <w:rsid w:val="0082546A"/>
    <w:rsid w:val="008309D0"/>
    <w:rsid w:val="00846EED"/>
    <w:rsid w:val="00856B8E"/>
    <w:rsid w:val="00861761"/>
    <w:rsid w:val="00866F64"/>
    <w:rsid w:val="0087318A"/>
    <w:rsid w:val="00874673"/>
    <w:rsid w:val="00874DF9"/>
    <w:rsid w:val="00880E5C"/>
    <w:rsid w:val="00884B71"/>
    <w:rsid w:val="00885D8B"/>
    <w:rsid w:val="00886200"/>
    <w:rsid w:val="008902B3"/>
    <w:rsid w:val="00890723"/>
    <w:rsid w:val="008932D9"/>
    <w:rsid w:val="00895F7E"/>
    <w:rsid w:val="008A16E1"/>
    <w:rsid w:val="008A30EB"/>
    <w:rsid w:val="008A6757"/>
    <w:rsid w:val="008B1015"/>
    <w:rsid w:val="008B6EC3"/>
    <w:rsid w:val="008C276B"/>
    <w:rsid w:val="008E27E5"/>
    <w:rsid w:val="008E35CD"/>
    <w:rsid w:val="008F25C0"/>
    <w:rsid w:val="008F3977"/>
    <w:rsid w:val="009047A8"/>
    <w:rsid w:val="00906712"/>
    <w:rsid w:val="00916529"/>
    <w:rsid w:val="00924FB3"/>
    <w:rsid w:val="009355DD"/>
    <w:rsid w:val="0093776C"/>
    <w:rsid w:val="009470F0"/>
    <w:rsid w:val="00950983"/>
    <w:rsid w:val="00951B2A"/>
    <w:rsid w:val="00952537"/>
    <w:rsid w:val="00957591"/>
    <w:rsid w:val="00973A43"/>
    <w:rsid w:val="009846BC"/>
    <w:rsid w:val="00985015"/>
    <w:rsid w:val="009A5B18"/>
    <w:rsid w:val="009C06C5"/>
    <w:rsid w:val="009D3F22"/>
    <w:rsid w:val="009F1F0B"/>
    <w:rsid w:val="009F2CF1"/>
    <w:rsid w:val="009F3F10"/>
    <w:rsid w:val="00A00443"/>
    <w:rsid w:val="00A00E2C"/>
    <w:rsid w:val="00A0669B"/>
    <w:rsid w:val="00A07AAB"/>
    <w:rsid w:val="00A25EF2"/>
    <w:rsid w:val="00A319F0"/>
    <w:rsid w:val="00A434C7"/>
    <w:rsid w:val="00A512E2"/>
    <w:rsid w:val="00A51471"/>
    <w:rsid w:val="00A62B9B"/>
    <w:rsid w:val="00A72BB7"/>
    <w:rsid w:val="00A8047E"/>
    <w:rsid w:val="00A84CD7"/>
    <w:rsid w:val="00A97410"/>
    <w:rsid w:val="00AA2FBF"/>
    <w:rsid w:val="00AA4E5A"/>
    <w:rsid w:val="00AC194C"/>
    <w:rsid w:val="00AC5593"/>
    <w:rsid w:val="00AC67BC"/>
    <w:rsid w:val="00AD2008"/>
    <w:rsid w:val="00AD2464"/>
    <w:rsid w:val="00AD43DA"/>
    <w:rsid w:val="00AD5E80"/>
    <w:rsid w:val="00AE0AED"/>
    <w:rsid w:val="00AE0E89"/>
    <w:rsid w:val="00AF090E"/>
    <w:rsid w:val="00AF6C65"/>
    <w:rsid w:val="00AF79E6"/>
    <w:rsid w:val="00B012F4"/>
    <w:rsid w:val="00B03902"/>
    <w:rsid w:val="00B118BD"/>
    <w:rsid w:val="00B17695"/>
    <w:rsid w:val="00B2628D"/>
    <w:rsid w:val="00B3541B"/>
    <w:rsid w:val="00B3645F"/>
    <w:rsid w:val="00B36D38"/>
    <w:rsid w:val="00B43588"/>
    <w:rsid w:val="00B50967"/>
    <w:rsid w:val="00B5144D"/>
    <w:rsid w:val="00B52703"/>
    <w:rsid w:val="00BA331A"/>
    <w:rsid w:val="00BA402A"/>
    <w:rsid w:val="00BA4D93"/>
    <w:rsid w:val="00BB169C"/>
    <w:rsid w:val="00BB53AA"/>
    <w:rsid w:val="00BD2CD9"/>
    <w:rsid w:val="00BD365A"/>
    <w:rsid w:val="00BD4615"/>
    <w:rsid w:val="00C0041D"/>
    <w:rsid w:val="00C0274E"/>
    <w:rsid w:val="00C047C4"/>
    <w:rsid w:val="00C13C29"/>
    <w:rsid w:val="00C15EA9"/>
    <w:rsid w:val="00C161A8"/>
    <w:rsid w:val="00C20105"/>
    <w:rsid w:val="00C22887"/>
    <w:rsid w:val="00C22B6A"/>
    <w:rsid w:val="00C23E39"/>
    <w:rsid w:val="00C30359"/>
    <w:rsid w:val="00C329F9"/>
    <w:rsid w:val="00C32EAF"/>
    <w:rsid w:val="00C34623"/>
    <w:rsid w:val="00C51270"/>
    <w:rsid w:val="00C5552D"/>
    <w:rsid w:val="00C56FFC"/>
    <w:rsid w:val="00C63D41"/>
    <w:rsid w:val="00C66AD7"/>
    <w:rsid w:val="00C70DC4"/>
    <w:rsid w:val="00C8150D"/>
    <w:rsid w:val="00C835FB"/>
    <w:rsid w:val="00C86D6B"/>
    <w:rsid w:val="00C90BC8"/>
    <w:rsid w:val="00C9392B"/>
    <w:rsid w:val="00CA0A86"/>
    <w:rsid w:val="00CA2CB2"/>
    <w:rsid w:val="00CA3FB5"/>
    <w:rsid w:val="00CA5B03"/>
    <w:rsid w:val="00CB3777"/>
    <w:rsid w:val="00CB5AD0"/>
    <w:rsid w:val="00CC0652"/>
    <w:rsid w:val="00CD7CBF"/>
    <w:rsid w:val="00CE0022"/>
    <w:rsid w:val="00CE0DAB"/>
    <w:rsid w:val="00CE3530"/>
    <w:rsid w:val="00CE3794"/>
    <w:rsid w:val="00CE3980"/>
    <w:rsid w:val="00CE6851"/>
    <w:rsid w:val="00CF3C42"/>
    <w:rsid w:val="00D01BF0"/>
    <w:rsid w:val="00D04B66"/>
    <w:rsid w:val="00D04FB2"/>
    <w:rsid w:val="00D06C4D"/>
    <w:rsid w:val="00D1326C"/>
    <w:rsid w:val="00D14126"/>
    <w:rsid w:val="00D17CCC"/>
    <w:rsid w:val="00D2509B"/>
    <w:rsid w:val="00D33E61"/>
    <w:rsid w:val="00D40FC2"/>
    <w:rsid w:val="00D473D8"/>
    <w:rsid w:val="00D55FA2"/>
    <w:rsid w:val="00D60E1B"/>
    <w:rsid w:val="00D62E70"/>
    <w:rsid w:val="00D70D3C"/>
    <w:rsid w:val="00D87355"/>
    <w:rsid w:val="00D92418"/>
    <w:rsid w:val="00D96F8B"/>
    <w:rsid w:val="00DB4D58"/>
    <w:rsid w:val="00DB4F18"/>
    <w:rsid w:val="00DD126F"/>
    <w:rsid w:val="00DE15C4"/>
    <w:rsid w:val="00E02720"/>
    <w:rsid w:val="00E02E2B"/>
    <w:rsid w:val="00E04470"/>
    <w:rsid w:val="00E05DC9"/>
    <w:rsid w:val="00E26B31"/>
    <w:rsid w:val="00E418A4"/>
    <w:rsid w:val="00E45793"/>
    <w:rsid w:val="00E45C13"/>
    <w:rsid w:val="00E53F29"/>
    <w:rsid w:val="00E561BB"/>
    <w:rsid w:val="00E57D60"/>
    <w:rsid w:val="00E63697"/>
    <w:rsid w:val="00E9187E"/>
    <w:rsid w:val="00E92BA0"/>
    <w:rsid w:val="00E953DE"/>
    <w:rsid w:val="00EB517D"/>
    <w:rsid w:val="00EB6CEF"/>
    <w:rsid w:val="00EC5213"/>
    <w:rsid w:val="00EC584D"/>
    <w:rsid w:val="00EE61E7"/>
    <w:rsid w:val="00EF3075"/>
    <w:rsid w:val="00F04F81"/>
    <w:rsid w:val="00F051FF"/>
    <w:rsid w:val="00F07534"/>
    <w:rsid w:val="00F1048E"/>
    <w:rsid w:val="00F140E8"/>
    <w:rsid w:val="00F25EAE"/>
    <w:rsid w:val="00F315F4"/>
    <w:rsid w:val="00F33963"/>
    <w:rsid w:val="00F34DA3"/>
    <w:rsid w:val="00F4541C"/>
    <w:rsid w:val="00F74DD5"/>
    <w:rsid w:val="00FA1ECB"/>
    <w:rsid w:val="00FB0796"/>
    <w:rsid w:val="00FB2249"/>
    <w:rsid w:val="00FB292E"/>
    <w:rsid w:val="00FC35D5"/>
    <w:rsid w:val="00FC3F72"/>
    <w:rsid w:val="00FD27C6"/>
    <w:rsid w:val="00FD2B86"/>
    <w:rsid w:val="00FD3F21"/>
    <w:rsid w:val="00FE312E"/>
    <w:rsid w:val="00FE46CD"/>
    <w:rsid w:val="00FE477B"/>
    <w:rsid w:val="00FF4CD2"/>
    <w:rsid w:val="00FF7F68"/>
    <w:rsid w:val="068417EA"/>
    <w:rsid w:val="44315700"/>
    <w:rsid w:val="53175BDF"/>
    <w:rsid w:val="5AE00E9E"/>
    <w:rsid w:val="5C5817C3"/>
    <w:rsid w:val="5D4D0F85"/>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287F3"/>
  <w15:docId w15:val="{A1A7DC23-50EA-6340-8F82-7A4A7F2C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60" w:line="259" w:lineRule="auto"/>
    </w:pPr>
    <w:rPr>
      <w:rFonts w:ascii="Bookman Old Style" w:eastAsia="Calibri" w:hAnsi="Bookman Old Style" w:cs="Times New Roman"/>
      <w:sz w:val="24"/>
      <w:szCs w:val="22"/>
      <w:lang w:eastAsia="en-US"/>
    </w:rPr>
  </w:style>
  <w:style w:type="paragraph" w:styleId="Heading1">
    <w:name w:val="heading 1"/>
    <w:basedOn w:val="Normal"/>
    <w:link w:val="Heading1Char"/>
    <w:uiPriority w:val="9"/>
    <w:qFormat/>
    <w:pPr>
      <w:keepNext/>
      <w:keepLines/>
      <w:spacing w:before="240" w:after="0"/>
      <w:outlineLvl w:val="0"/>
    </w:pPr>
    <w:rPr>
      <w:rFonts w:ascii="Garamond" w:eastAsiaTheme="majorEastAsia" w:hAnsi="Garamond"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99"/>
    <w:qFormat/>
    <w:pPr>
      <w:tabs>
        <w:tab w:val="left" w:pos="288"/>
      </w:tabs>
      <w:spacing w:after="120" w:line="228" w:lineRule="auto"/>
      <w:ind w:firstLine="288"/>
      <w:jc w:val="both"/>
    </w:pPr>
    <w:rPr>
      <w:rFonts w:ascii="Times New Roman" w:eastAsia="MS Mincho" w:hAnsi="Times New Roman"/>
      <w:spacing w:val="-1"/>
      <w:sz w:val="20"/>
      <w:szCs w:val="20"/>
      <w:lang w:val="en-U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rPr>
      <w:szCs w:val="20"/>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rPr>
      <w:szCs w:val="20"/>
    </w:rPr>
  </w:style>
  <w:style w:type="character" w:styleId="Hyperlink">
    <w:name w:val="Hyperlink"/>
    <w:uiPriority w:val="99"/>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rFonts w:ascii="Bookman Old Style" w:eastAsia="Calibri" w:hAnsi="Bookman Old Style" w:cs="Times New Roman"/>
      <w:sz w:val="24"/>
      <w:szCs w:val="20"/>
    </w:rPr>
  </w:style>
  <w:style w:type="character" w:customStyle="1" w:styleId="FooterChar">
    <w:name w:val="Footer Char"/>
    <w:basedOn w:val="DefaultParagraphFont"/>
    <w:link w:val="Footer"/>
    <w:uiPriority w:val="99"/>
    <w:qFormat/>
    <w:rPr>
      <w:rFonts w:ascii="Bookman Old Style" w:eastAsia="Calibri" w:hAnsi="Bookman Old Style" w:cs="Times New Roman"/>
      <w:sz w:val="24"/>
      <w:szCs w:val="20"/>
    </w:rPr>
  </w:style>
  <w:style w:type="paragraph" w:customStyle="1" w:styleId="Headerdepan">
    <w:name w:val="Header depan"/>
    <w:basedOn w:val="Header"/>
    <w:link w:val="HeaderdepanChar"/>
    <w:autoRedefine/>
    <w:pPr>
      <w:jc w:val="center"/>
    </w:pPr>
    <w:rPr>
      <w:rFonts w:ascii="Garamond" w:hAnsi="Garamond"/>
      <w:b/>
      <w:bCs/>
      <w:sz w:val="32"/>
      <w:szCs w:val="32"/>
      <w:lang w:val="en-US"/>
    </w:rPr>
  </w:style>
  <w:style w:type="character" w:customStyle="1" w:styleId="HeaderdepanChar">
    <w:name w:val="Header depan Char"/>
    <w:link w:val="Headerdepan"/>
    <w:rPr>
      <w:rFonts w:ascii="Garamond" w:eastAsia="Calibri" w:hAnsi="Garamond" w:cs="Times New Roman"/>
      <w:b/>
      <w:bCs/>
      <w:sz w:val="32"/>
      <w:szCs w:val="32"/>
      <w:lang w:val="en-US"/>
    </w:rPr>
  </w:style>
  <w:style w:type="paragraph" w:customStyle="1" w:styleId="Judul1">
    <w:name w:val="Judul1"/>
    <w:link w:val="JudulChar"/>
    <w:autoRedefine/>
    <w:qFormat/>
    <w:pPr>
      <w:spacing w:before="100" w:beforeAutospacing="1" w:after="100" w:afterAutospacing="1"/>
    </w:pPr>
    <w:rPr>
      <w:rFonts w:ascii="Garamond" w:eastAsia="Times New Roman" w:hAnsi="Garamond" w:cs="Times New Roman"/>
      <w:b/>
      <w:bCs/>
      <w:kern w:val="32"/>
      <w:sz w:val="28"/>
      <w:szCs w:val="32"/>
      <w:lang w:val="en-US" w:eastAsia="en-US"/>
    </w:rPr>
  </w:style>
  <w:style w:type="paragraph" w:customStyle="1" w:styleId="Author">
    <w:name w:val="Author"/>
    <w:link w:val="AuthorChar"/>
    <w:autoRedefine/>
    <w:qFormat/>
    <w:pPr>
      <w:spacing w:after="120"/>
    </w:pPr>
    <w:rPr>
      <w:rFonts w:ascii="Garamond" w:eastAsia="Times New Roman" w:hAnsi="Garamond" w:cs="Times New Roman"/>
      <w:b/>
      <w:bCs/>
      <w:kern w:val="32"/>
      <w:sz w:val="22"/>
      <w:szCs w:val="32"/>
      <w:lang w:val="en-US"/>
    </w:rPr>
  </w:style>
  <w:style w:type="character" w:customStyle="1" w:styleId="JudulChar">
    <w:name w:val="Judul Char"/>
    <w:link w:val="Judul1"/>
    <w:qFormat/>
    <w:rPr>
      <w:rFonts w:ascii="Garamond" w:eastAsia="Times New Roman" w:hAnsi="Garamond" w:cs="Times New Roman"/>
      <w:b/>
      <w:bCs/>
      <w:kern w:val="32"/>
      <w:sz w:val="28"/>
      <w:szCs w:val="32"/>
      <w:lang w:val="en-US"/>
    </w:rPr>
  </w:style>
  <w:style w:type="paragraph" w:customStyle="1" w:styleId="Affiliasi">
    <w:name w:val="Affiliasi"/>
    <w:link w:val="AffiliasiChar"/>
    <w:autoRedefine/>
    <w:qFormat/>
    <w:rPr>
      <w:rFonts w:ascii="Garamond" w:eastAsia="Times New Roman" w:hAnsi="Garamond" w:cs="Times New Roman"/>
      <w:bCs/>
      <w:kern w:val="32"/>
      <w:szCs w:val="32"/>
      <w:lang w:val="en-US"/>
    </w:rPr>
  </w:style>
  <w:style w:type="character" w:customStyle="1" w:styleId="AuthorChar">
    <w:name w:val="Author Char"/>
    <w:link w:val="Author"/>
    <w:rPr>
      <w:rFonts w:ascii="Garamond" w:eastAsia="Times New Roman" w:hAnsi="Garamond" w:cs="Times New Roman"/>
      <w:b/>
      <w:bCs/>
      <w:kern w:val="32"/>
      <w:szCs w:val="32"/>
      <w:lang w:val="en-US" w:eastAsia="id-ID"/>
    </w:rPr>
  </w:style>
  <w:style w:type="paragraph" w:customStyle="1" w:styleId="Abstrakabstract">
    <w:name w:val="Abstrak (abstract)"/>
    <w:link w:val="AbstrakabstractChar"/>
    <w:autoRedefine/>
    <w:qFormat/>
    <w:pPr>
      <w:spacing w:after="60"/>
      <w:jc w:val="both"/>
    </w:pPr>
    <w:rPr>
      <w:rFonts w:ascii="Garamond" w:eastAsia="Times New Roman" w:hAnsi="Garamond" w:cs="Times New Roman"/>
      <w:bCs/>
      <w:kern w:val="32"/>
      <w:szCs w:val="32"/>
      <w:lang w:val="en-US"/>
    </w:rPr>
  </w:style>
  <w:style w:type="character" w:customStyle="1" w:styleId="AffiliasiChar">
    <w:name w:val="Affiliasi Char"/>
    <w:link w:val="Affiliasi"/>
    <w:qFormat/>
    <w:rPr>
      <w:rFonts w:ascii="Garamond" w:eastAsia="Times New Roman" w:hAnsi="Garamond" w:cs="Times New Roman"/>
      <w:bCs/>
      <w:kern w:val="32"/>
      <w:sz w:val="20"/>
      <w:szCs w:val="32"/>
      <w:lang w:val="en-US" w:eastAsia="id-ID"/>
    </w:rPr>
  </w:style>
  <w:style w:type="paragraph" w:customStyle="1" w:styleId="katakunci">
    <w:name w:val="kata kunci"/>
    <w:link w:val="katakunciChar"/>
    <w:autoRedefine/>
    <w:qFormat/>
    <w:rPr>
      <w:rFonts w:ascii="Garamond" w:eastAsia="Times New Roman" w:hAnsi="Garamond" w:cs="Times New Roman"/>
      <w:b/>
      <w:kern w:val="32"/>
      <w:szCs w:val="32"/>
      <w:lang w:val="en-US"/>
    </w:rPr>
  </w:style>
  <w:style w:type="character" w:customStyle="1" w:styleId="AbstrakabstractChar">
    <w:name w:val="Abstrak (abstract) Char"/>
    <w:link w:val="Abstrakabstract"/>
    <w:qFormat/>
    <w:rPr>
      <w:rFonts w:ascii="Garamond" w:eastAsia="Times New Roman" w:hAnsi="Garamond" w:cs="Times New Roman"/>
      <w:bCs/>
      <w:kern w:val="32"/>
      <w:sz w:val="20"/>
      <w:szCs w:val="32"/>
      <w:lang w:val="en-US" w:eastAsia="id-ID"/>
    </w:rPr>
  </w:style>
  <w:style w:type="paragraph" w:customStyle="1" w:styleId="sejarahartikel">
    <w:name w:val="sejarah artikel"/>
    <w:link w:val="sejarahartikelChar"/>
    <w:autoRedefine/>
    <w:qFormat/>
    <w:rPr>
      <w:rFonts w:ascii="Garamond" w:eastAsia="Times New Roman" w:hAnsi="Garamond" w:cs="Times New Roman"/>
      <w:bCs/>
      <w:kern w:val="32"/>
      <w:szCs w:val="32"/>
      <w:lang w:val="en-US"/>
    </w:rPr>
  </w:style>
  <w:style w:type="character" w:customStyle="1" w:styleId="katakunciChar">
    <w:name w:val="kata kunci Char"/>
    <w:link w:val="katakunci"/>
    <w:qFormat/>
    <w:rPr>
      <w:rFonts w:ascii="Garamond" w:eastAsia="Times New Roman" w:hAnsi="Garamond" w:cs="Times New Roman"/>
      <w:b/>
      <w:kern w:val="32"/>
      <w:sz w:val="20"/>
      <w:szCs w:val="32"/>
      <w:lang w:val="en-US" w:eastAsia="id-ID"/>
    </w:rPr>
  </w:style>
  <w:style w:type="paragraph" w:customStyle="1" w:styleId="Sistematika">
    <w:name w:val="Sistematika"/>
    <w:link w:val="SistematikaChar"/>
    <w:qFormat/>
    <w:pPr>
      <w:spacing w:before="100" w:beforeAutospacing="1" w:after="120"/>
    </w:pPr>
    <w:rPr>
      <w:rFonts w:ascii="Garamond" w:eastAsia="Times New Roman" w:hAnsi="Garamond" w:cs="Times New Roman"/>
      <w:b/>
      <w:bCs/>
      <w:kern w:val="32"/>
      <w:sz w:val="22"/>
      <w:szCs w:val="32"/>
    </w:rPr>
  </w:style>
  <w:style w:type="character" w:customStyle="1" w:styleId="sejarahartikelChar">
    <w:name w:val="sejarah artikel Char"/>
    <w:link w:val="sejarahartikel"/>
    <w:rPr>
      <w:rFonts w:ascii="Garamond" w:eastAsia="Times New Roman" w:hAnsi="Garamond" w:cs="Times New Roman"/>
      <w:bCs/>
      <w:kern w:val="32"/>
      <w:sz w:val="20"/>
      <w:szCs w:val="32"/>
      <w:lang w:val="en-US" w:eastAsia="id-ID"/>
    </w:rPr>
  </w:style>
  <w:style w:type="paragraph" w:customStyle="1" w:styleId="Paragraph">
    <w:name w:val="Paragraph"/>
    <w:link w:val="ParagraphChar"/>
    <w:autoRedefine/>
    <w:qFormat/>
    <w:pPr>
      <w:ind w:firstLine="425"/>
      <w:jc w:val="both"/>
    </w:pPr>
    <w:rPr>
      <w:rFonts w:ascii="Garamond" w:eastAsia="Times New Roman" w:hAnsi="Garamond" w:cs="Times New Roman"/>
      <w:bCs/>
      <w:kern w:val="32"/>
      <w:sz w:val="22"/>
      <w:szCs w:val="22"/>
      <w:lang w:val="en-US"/>
    </w:rPr>
  </w:style>
  <w:style w:type="character" w:customStyle="1" w:styleId="SistematikaChar">
    <w:name w:val="Sistematika Char"/>
    <w:link w:val="Sistematika"/>
    <w:qFormat/>
    <w:rPr>
      <w:rFonts w:ascii="Garamond" w:eastAsia="Times New Roman" w:hAnsi="Garamond" w:cs="Times New Roman"/>
      <w:b/>
      <w:bCs/>
      <w:kern w:val="32"/>
      <w:szCs w:val="32"/>
      <w:lang w:eastAsia="id-ID"/>
    </w:rPr>
  </w:style>
  <w:style w:type="paragraph" w:customStyle="1" w:styleId="FigureCaption">
    <w:name w:val="Figure Caption"/>
    <w:link w:val="FigureCaptionChar"/>
    <w:autoRedefine/>
    <w:qFormat/>
    <w:pPr>
      <w:jc w:val="center"/>
    </w:pPr>
    <w:rPr>
      <w:rFonts w:ascii="Garamond" w:eastAsia="Times New Roman" w:hAnsi="Garamond" w:cs="Times New Roman"/>
      <w:b/>
      <w:kern w:val="32"/>
      <w:szCs w:val="22"/>
      <w:lang w:val="sv-SE" w:eastAsia="en-US"/>
    </w:rPr>
  </w:style>
  <w:style w:type="character" w:customStyle="1" w:styleId="ParagraphChar">
    <w:name w:val="Paragraph Char"/>
    <w:link w:val="Paragraph"/>
    <w:qFormat/>
    <w:rPr>
      <w:rFonts w:ascii="Garamond" w:eastAsia="Times New Roman" w:hAnsi="Garamond" w:cs="Times New Roman"/>
      <w:bCs/>
      <w:kern w:val="32"/>
      <w:lang w:val="en-US" w:eastAsia="id-ID"/>
    </w:rPr>
  </w:style>
  <w:style w:type="paragraph" w:customStyle="1" w:styleId="TableCaption">
    <w:name w:val="Table Caption"/>
    <w:link w:val="TableCaptionChar"/>
    <w:autoRedefine/>
    <w:qFormat/>
    <w:pPr>
      <w:spacing w:before="120"/>
      <w:ind w:left="720" w:hanging="720"/>
      <w:jc w:val="center"/>
    </w:pPr>
    <w:rPr>
      <w:rFonts w:ascii="Garamond" w:eastAsia="Times New Roman" w:hAnsi="Garamond" w:cs="Times New Roman"/>
      <w:bCs/>
      <w:kern w:val="32"/>
      <w:szCs w:val="22"/>
      <w:lang w:val="en-US" w:eastAsia="en-US"/>
    </w:rPr>
  </w:style>
  <w:style w:type="character" w:customStyle="1" w:styleId="FigureCaptionChar">
    <w:name w:val="Figure Caption Char"/>
    <w:link w:val="FigureCaption"/>
    <w:rPr>
      <w:rFonts w:ascii="Garamond" w:eastAsia="Times New Roman" w:hAnsi="Garamond" w:cs="Times New Roman"/>
      <w:b/>
      <w:kern w:val="32"/>
      <w:sz w:val="20"/>
      <w:lang w:val="sv-SE"/>
    </w:rPr>
  </w:style>
  <w:style w:type="paragraph" w:customStyle="1" w:styleId="kepalatabel">
    <w:name w:val="kepala tabel"/>
    <w:link w:val="kepalatabelChar"/>
    <w:autoRedefine/>
    <w:qFormat/>
    <w:pPr>
      <w:jc w:val="center"/>
    </w:pPr>
    <w:rPr>
      <w:rFonts w:ascii="Garamond" w:eastAsia="Times New Roman" w:hAnsi="Garamond" w:cs="Times New Roman"/>
      <w:b/>
      <w:bCs/>
      <w:kern w:val="32"/>
      <w:sz w:val="22"/>
      <w:szCs w:val="32"/>
      <w:lang w:val="en-US"/>
    </w:rPr>
  </w:style>
  <w:style w:type="character" w:customStyle="1" w:styleId="TableCaptionChar">
    <w:name w:val="Table Caption Char"/>
    <w:link w:val="TableCaption"/>
    <w:qFormat/>
    <w:rPr>
      <w:rFonts w:ascii="Garamond" w:eastAsia="Times New Roman" w:hAnsi="Garamond" w:cs="Times New Roman"/>
      <w:bCs/>
      <w:kern w:val="32"/>
      <w:sz w:val="20"/>
      <w:lang w:val="en-US"/>
    </w:rPr>
  </w:style>
  <w:style w:type="paragraph" w:customStyle="1" w:styleId="subkepalatabel">
    <w:name w:val="sub kepala tabel"/>
    <w:link w:val="subkepalatabelChar"/>
    <w:qFormat/>
    <w:pPr>
      <w:jc w:val="center"/>
    </w:pPr>
    <w:rPr>
      <w:rFonts w:ascii="Times New Roman" w:eastAsia="Times New Roman" w:hAnsi="Times New Roman" w:cs="Times New Roman"/>
      <w:b/>
      <w:bCs/>
      <w:kern w:val="32"/>
      <w:szCs w:val="32"/>
      <w:lang w:val="en-US"/>
    </w:rPr>
  </w:style>
  <w:style w:type="character" w:customStyle="1" w:styleId="kepalatabelChar">
    <w:name w:val="kepala tabel Char"/>
    <w:link w:val="kepalatabel"/>
    <w:qFormat/>
    <w:rPr>
      <w:rFonts w:ascii="Garamond" w:eastAsia="Times New Roman" w:hAnsi="Garamond" w:cs="Times New Roman"/>
      <w:b/>
      <w:bCs/>
      <w:kern w:val="32"/>
      <w:szCs w:val="32"/>
      <w:lang w:val="en-US" w:eastAsia="id-ID"/>
    </w:rPr>
  </w:style>
  <w:style w:type="paragraph" w:customStyle="1" w:styleId="datatabel">
    <w:name w:val="data tabel"/>
    <w:link w:val="datatabelChar"/>
    <w:qFormat/>
    <w:pPr>
      <w:jc w:val="center"/>
    </w:pPr>
    <w:rPr>
      <w:rFonts w:ascii="Garamond" w:eastAsia="Times New Roman" w:hAnsi="Garamond" w:cs="Times New Roman"/>
      <w:bCs/>
      <w:kern w:val="32"/>
      <w:sz w:val="18"/>
      <w:szCs w:val="32"/>
    </w:rPr>
  </w:style>
  <w:style w:type="character" w:customStyle="1" w:styleId="subkepalatabelChar">
    <w:name w:val="sub kepala tabel Char"/>
    <w:link w:val="subkepalatabel"/>
    <w:qFormat/>
    <w:rPr>
      <w:rFonts w:ascii="Times New Roman" w:eastAsia="Times New Roman" w:hAnsi="Times New Roman" w:cs="Times New Roman"/>
      <w:b/>
      <w:bCs/>
      <w:kern w:val="32"/>
      <w:sz w:val="20"/>
      <w:szCs w:val="32"/>
      <w:lang w:val="en-US" w:eastAsia="id-ID"/>
    </w:rPr>
  </w:style>
  <w:style w:type="paragraph" w:customStyle="1" w:styleId="catatantabel">
    <w:name w:val="catatan tabel"/>
    <w:link w:val="catatantabelChar"/>
    <w:qFormat/>
    <w:rPr>
      <w:rFonts w:ascii="Centaur" w:eastAsia="Times New Roman" w:hAnsi="Centaur" w:cs="Times New Roman"/>
      <w:bCs/>
      <w:kern w:val="32"/>
      <w:sz w:val="16"/>
      <w:szCs w:val="32"/>
    </w:rPr>
  </w:style>
  <w:style w:type="character" w:customStyle="1" w:styleId="datatabelChar">
    <w:name w:val="data tabel Char"/>
    <w:link w:val="datatabel"/>
    <w:qFormat/>
    <w:rPr>
      <w:rFonts w:ascii="Garamond" w:eastAsia="Times New Roman" w:hAnsi="Garamond" w:cs="Times New Roman"/>
      <w:bCs/>
      <w:kern w:val="32"/>
      <w:sz w:val="18"/>
      <w:szCs w:val="32"/>
      <w:lang w:eastAsia="id-ID"/>
    </w:rPr>
  </w:style>
  <w:style w:type="paragraph" w:customStyle="1" w:styleId="referensi">
    <w:name w:val="referensi"/>
    <w:link w:val="referensiChar"/>
    <w:autoRedefine/>
    <w:qFormat/>
    <w:pPr>
      <w:spacing w:after="60"/>
      <w:ind w:left="720" w:hanging="720"/>
      <w:jc w:val="both"/>
    </w:pPr>
    <w:rPr>
      <w:rFonts w:ascii="Garamond" w:eastAsia="Times New Roman" w:hAnsi="Garamond" w:cs="Times New Roman"/>
      <w:bCs/>
      <w:kern w:val="32"/>
      <w:sz w:val="22"/>
      <w:szCs w:val="32"/>
      <w:lang w:val="en-US"/>
    </w:rPr>
  </w:style>
  <w:style w:type="character" w:customStyle="1" w:styleId="catatantabelChar">
    <w:name w:val="catatan tabel Char"/>
    <w:link w:val="catatantabel"/>
    <w:qFormat/>
    <w:rPr>
      <w:rFonts w:ascii="Centaur" w:eastAsia="Times New Roman" w:hAnsi="Centaur" w:cs="Times New Roman"/>
      <w:bCs/>
      <w:kern w:val="32"/>
      <w:sz w:val="16"/>
      <w:szCs w:val="32"/>
      <w:lang w:eastAsia="id-ID"/>
    </w:rPr>
  </w:style>
  <w:style w:type="character" w:customStyle="1" w:styleId="BodyTextChar">
    <w:name w:val="Body Text Char"/>
    <w:basedOn w:val="DefaultParagraphFont"/>
    <w:link w:val="BodyText"/>
    <w:uiPriority w:val="99"/>
    <w:qFormat/>
    <w:rPr>
      <w:rFonts w:ascii="Times New Roman" w:eastAsia="MS Mincho" w:hAnsi="Times New Roman" w:cs="Times New Roman"/>
      <w:spacing w:val="-1"/>
      <w:sz w:val="20"/>
      <w:szCs w:val="20"/>
      <w:lang w:val="en-US"/>
    </w:rPr>
  </w:style>
  <w:style w:type="character" w:customStyle="1" w:styleId="referensiChar">
    <w:name w:val="referensi Char"/>
    <w:link w:val="referensi"/>
    <w:qFormat/>
    <w:rPr>
      <w:rFonts w:ascii="Garamond" w:eastAsia="Times New Roman" w:hAnsi="Garamond" w:cs="Times New Roman"/>
      <w:bCs/>
      <w:kern w:val="32"/>
      <w:szCs w:val="32"/>
      <w:lang w:val="en-US" w:eastAsia="id-ID"/>
    </w:rPr>
  </w:style>
  <w:style w:type="character" w:customStyle="1" w:styleId="CommentTextChar">
    <w:name w:val="Comment Text Char"/>
    <w:basedOn w:val="DefaultParagraphFont"/>
    <w:link w:val="CommentText"/>
    <w:uiPriority w:val="99"/>
    <w:qFormat/>
    <w:rPr>
      <w:rFonts w:ascii="Bookman Old Style" w:eastAsia="Calibri" w:hAnsi="Bookman Old Style" w:cs="Times New Roman"/>
      <w:sz w:val="20"/>
      <w:szCs w:val="20"/>
    </w:rPr>
  </w:style>
  <w:style w:type="character" w:customStyle="1" w:styleId="CommentSubjectChar">
    <w:name w:val="Comment Subject Char"/>
    <w:basedOn w:val="CommentTextChar"/>
    <w:link w:val="CommentSubject"/>
    <w:uiPriority w:val="99"/>
    <w:semiHidden/>
    <w:qFormat/>
    <w:rPr>
      <w:rFonts w:ascii="Bookman Old Style" w:eastAsia="Calibri" w:hAnsi="Bookman Old Style" w:cs="Times New Roman"/>
      <w:b/>
      <w:bCs/>
      <w:sz w:val="20"/>
      <w:szCs w:val="20"/>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Garamond" w:eastAsiaTheme="majorEastAsia" w:hAnsi="Garamond" w:cstheme="majorBidi"/>
      <w:b/>
      <w:color w:val="000000" w:themeColor="text1"/>
      <w:sz w:val="24"/>
      <w:szCs w:val="3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
    <w:name w:val="email"/>
    <w:qFormat/>
    <w:pPr>
      <w:spacing w:after="160" w:line="259" w:lineRule="auto"/>
    </w:pPr>
    <w:rPr>
      <w:rFonts w:ascii="Garamond" w:eastAsia="Times New Roman" w:hAnsi="Garamond" w:cs="Times New Roman"/>
      <w:bCs/>
      <w:kern w:val="32"/>
      <w:szCs w:val="32"/>
      <w:lang w:val="it-IT"/>
    </w:rPr>
  </w:style>
  <w:style w:type="paragraph" w:customStyle="1" w:styleId="JudulAbstrak">
    <w:name w:val="Judul Abstrak"/>
    <w:autoRedefine/>
    <w:qFormat/>
    <w:pPr>
      <w:spacing w:after="160" w:line="259" w:lineRule="auto"/>
    </w:pPr>
    <w:rPr>
      <w:rFonts w:ascii="Garamond" w:eastAsia="Times New Roman" w:hAnsi="Garamond" w:cs="Times New Roman"/>
      <w:b/>
      <w:bCs/>
      <w:kern w:val="32"/>
      <w:szCs w:val="32"/>
      <w:lang w:val="en-US" w:eastAsia="en-US"/>
    </w:rPr>
  </w:style>
  <w:style w:type="paragraph" w:customStyle="1" w:styleId="JudulInformasiArtikel">
    <w:name w:val="Judul Informasi Artikel"/>
    <w:autoRedefine/>
    <w:qFormat/>
    <w:rPr>
      <w:rFonts w:ascii="Garamond" w:eastAsia="Times New Roman" w:hAnsi="Garamond" w:cs="Times New Roman"/>
      <w:b/>
      <w:bCs/>
      <w:kern w:val="32"/>
      <w:szCs w:val="32"/>
      <w:lang w:val="en-US" w:eastAsia="en-US"/>
    </w:rPr>
  </w:style>
  <w:style w:type="paragraph" w:customStyle="1" w:styleId="InformasiArikel">
    <w:name w:val="Informasi Arikel"/>
    <w:autoRedefine/>
    <w:qFormat/>
    <w:pPr>
      <w:spacing w:after="160" w:line="259" w:lineRule="auto"/>
    </w:pPr>
    <w:rPr>
      <w:rFonts w:ascii="Garamond" w:eastAsia="Times New Roman" w:hAnsi="Garamond" w:cs="Times New Roman"/>
      <w:b/>
      <w:bCs/>
      <w:kern w:val="32"/>
      <w:szCs w:val="32"/>
      <w:lang w:val="fi-FI" w:eastAsia="en-US"/>
    </w:rPr>
  </w:style>
  <w:style w:type="paragraph" w:customStyle="1" w:styleId="Keywords">
    <w:name w:val="Keywords"/>
    <w:next w:val="katakunci"/>
    <w:autoRedefine/>
    <w:qFormat/>
    <w:rPr>
      <w:rFonts w:ascii="Garamond" w:eastAsia="Times New Roman" w:hAnsi="Garamond" w:cs="Times New Roman"/>
      <w:bCs/>
      <w:i/>
      <w:iCs/>
      <w:kern w:val="32"/>
      <w:szCs w:val="32"/>
      <w:lang w:val="en-US"/>
    </w:rPr>
  </w:style>
  <w:style w:type="paragraph" w:customStyle="1" w:styleId="Copyright">
    <w:name w:val="Copyright"/>
    <w:basedOn w:val="Normal"/>
    <w:autoRedefine/>
    <w:qFormat/>
    <w:pPr>
      <w:jc w:val="center"/>
    </w:pPr>
    <w:rPr>
      <w:rFonts w:ascii="Garamond" w:hAnsi="Garamond"/>
      <w:b/>
      <w:i/>
      <w:sz w:val="22"/>
    </w:rPr>
  </w:style>
  <w:style w:type="character" w:customStyle="1" w:styleId="SebutanYangBelumTerselesaikan1">
    <w:name w:val="Sebutan Yang Belum Terselesaikan1"/>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uiPriority w:val="99"/>
    <w:semiHidden/>
    <w:qFormat/>
    <w:rPr>
      <w:rFonts w:ascii="Bookman Old Style" w:eastAsia="Calibri" w:hAnsi="Bookman Old Style"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utribalqisnh@students.unnes.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CE1D4E-6898-4401-8D20-3141EB171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7602</Words>
  <Characters>43333</Characters>
  <Application>Microsoft Office Word</Application>
  <DocSecurity>0</DocSecurity>
  <Lines>361</Lines>
  <Paragraphs>101</Paragraphs>
  <ScaleCrop>false</ScaleCrop>
  <Company/>
  <LinksUpToDate>false</LinksUpToDate>
  <CharactersWithSpaces>50834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dc:creator>
  <cp:lastModifiedBy>Abdul Rahman</cp:lastModifiedBy>
  <cp:revision>3</cp:revision>
  <dcterms:created xsi:type="dcterms:W3CDTF">2026-04-25T04:51:00Z</dcterms:created>
  <dcterms:modified xsi:type="dcterms:W3CDTF">2026-05-05T13:36:00Z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10214CDF6FE546FB8EF6D6CC2565360D_13</vt:lpwstr>
  </property>
  <property fmtid="{D5CDD505-2E9C-101B-9397-08002B2CF9AE}" pid="4" name="Mendeley Document_1">
    <vt:lpwstr>True</vt:lpwstr>
  </property>
  <property fmtid="{D5CDD505-2E9C-101B-9397-08002B2CF9AE}" pid="5" name="Mendeley Unique User Id_1">
    <vt:lpwstr>ead0d7ce-daac-3cb7-a1f5-a141aad74c55</vt:lpwstr>
  </property>
  <property fmtid="{D5CDD505-2E9C-101B-9397-08002B2CF9AE}" pid="6" name="Mendeley Citation Style_1">
    <vt:lpwstr>http://www.zotero.org/styles/apa</vt:lpwstr>
  </property>
  <property fmtid="{D5CDD505-2E9C-101B-9397-08002B2CF9AE}" pid="7" name="Mendeley Recent Style Id 0_1">
    <vt:lpwstr>http://www.zotero.org/styles/apa</vt:lpwstr>
  </property>
  <property fmtid="{D5CDD505-2E9C-101B-9397-08002B2CF9AE}" pid="8" name="Mendeley Recent Style Name 0_1">
    <vt:lpwstr>American Psychological Association 7th edition</vt:lpwstr>
  </property>
  <property fmtid="{D5CDD505-2E9C-101B-9397-08002B2CF9AE}" pid="9" name="Mendeley Recent Style Id 1_1">
    <vt:lpwstr>http://www.zotero.org/styles/bluebook-law-review</vt:lpwstr>
  </property>
  <property fmtid="{D5CDD505-2E9C-101B-9397-08002B2CF9AE}" pid="10" name="Mendeley Recent Style Name 1_1">
    <vt:lpwstr>Bluebook Law Review</vt:lpwstr>
  </property>
  <property fmtid="{D5CDD505-2E9C-101B-9397-08002B2CF9AE}" pid="11" name="Mendeley Recent Style Id 2_1">
    <vt:lpwstr>http://www.zotero.org/styles/chicago-fullnote-bibliography</vt:lpwstr>
  </property>
  <property fmtid="{D5CDD505-2E9C-101B-9397-08002B2CF9AE}" pid="12" name="Mendeley Recent Style Name 2_1">
    <vt:lpwstr>Chicago Manual of Style 17th edition (full note)</vt:lpwstr>
  </property>
  <property fmtid="{D5CDD505-2E9C-101B-9397-08002B2CF9AE}" pid="13" name="Mendeley Recent Style Id 3_1">
    <vt:lpwstr>http://www.zotero.org/styles/harvard-cite-them-right</vt:lpwstr>
  </property>
  <property fmtid="{D5CDD505-2E9C-101B-9397-08002B2CF9AE}" pid="14" name="Mendeley Recent Style Name 3_1">
    <vt:lpwstr>Cite Them Right 12th edition - Harvard</vt:lpwstr>
  </property>
  <property fmtid="{D5CDD505-2E9C-101B-9397-08002B2CF9AE}" pid="15" name="Mendeley Recent Style Id 4_1">
    <vt:lpwstr>http://www.zotero.org/styles/harvard1</vt:lpwstr>
  </property>
  <property fmtid="{D5CDD505-2E9C-101B-9397-08002B2CF9AE}" pid="16" name="Mendeley Recent Style Name 4_1">
    <vt:lpwstr>Harvard reference format 1 (deprecated)</vt:lpwstr>
  </property>
  <property fmtid="{D5CDD505-2E9C-101B-9397-08002B2CF9AE}" pid="17" name="Mendeley Recent Style Id 5_1">
    <vt:lpwstr>http://www.zotero.org/styles/ieee</vt:lpwstr>
  </property>
  <property fmtid="{D5CDD505-2E9C-101B-9397-08002B2CF9AE}" pid="18" name="Mendeley Recent Style Name 5_1">
    <vt:lpwstr>IEEE</vt:lpwstr>
  </property>
  <property fmtid="{D5CDD505-2E9C-101B-9397-08002B2CF9AE}" pid="19" name="Mendeley Recent Style Id 6_1">
    <vt:lpwstr>http://www.zotero.org/styles/modern-humanities-research-association</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Id 7_1">
    <vt:lpwstr>http://www.zotero.org/styles/modern-language-association</vt:lpwstr>
  </property>
  <property fmtid="{D5CDD505-2E9C-101B-9397-08002B2CF9AE}" pid="22" name="Mendeley Recent Style Name 7_1">
    <vt:lpwstr>Modern Language Association 9th edition</vt:lpwstr>
  </property>
  <property fmtid="{D5CDD505-2E9C-101B-9397-08002B2CF9AE}" pid="23" name="Mendeley Recent Style Id 8_1">
    <vt:lpwstr>http://www.zotero.org/styles/oscola</vt:lpwstr>
  </property>
  <property fmtid="{D5CDD505-2E9C-101B-9397-08002B2CF9AE}" pid="24" name="Mendeley Recent Style Name 8_1">
    <vt:lpwstr>OSCOLA (Oxford University Standard for Citation of Legal Authorities)</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y fmtid="{D5CDD505-2E9C-101B-9397-08002B2CF9AE}" pid="27" name="GrammarlyDocumentId">
    <vt:lpwstr>d3b5a0d4-79fd-4c52-8848-f108727bcc2d</vt:lpwstr>
  </property>
</Properties>
</file>