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D6" w:rsidRPr="00486067" w:rsidRDefault="00EE6EB9" w:rsidP="00D24412">
      <w:pPr>
        <w:spacing w:after="0" w:line="240" w:lineRule="auto"/>
        <w:jc w:val="center"/>
        <w:rPr>
          <w:rFonts w:ascii="Cambria" w:hAnsi="Cambria" w:cs="Arial"/>
          <w:b/>
          <w:sz w:val="24"/>
          <w:szCs w:val="24"/>
        </w:rPr>
      </w:pPr>
      <w:bookmarkStart w:id="0" w:name="_GoBack"/>
      <w:bookmarkEnd w:id="0"/>
      <w:r w:rsidRPr="00486067">
        <w:rPr>
          <w:rFonts w:ascii="Cambria" w:hAnsi="Cambria" w:cs="Arial"/>
          <w:b/>
          <w:sz w:val="24"/>
          <w:szCs w:val="24"/>
          <w:lang w:val="id-ID"/>
        </w:rPr>
        <w:t xml:space="preserve">POLICY </w:t>
      </w:r>
      <w:r w:rsidR="00CF70D6" w:rsidRPr="00486067">
        <w:rPr>
          <w:rFonts w:ascii="Cambria" w:hAnsi="Cambria" w:cs="Arial"/>
          <w:b/>
          <w:sz w:val="24"/>
          <w:szCs w:val="24"/>
        </w:rPr>
        <w:t xml:space="preserve">IMPLEMENTATION </w:t>
      </w:r>
      <w:r w:rsidRPr="00486067">
        <w:rPr>
          <w:rFonts w:ascii="Cambria" w:hAnsi="Cambria" w:cs="Arial"/>
          <w:b/>
          <w:sz w:val="24"/>
          <w:szCs w:val="24"/>
          <w:lang w:val="id-ID"/>
        </w:rPr>
        <w:t xml:space="preserve">EVALUATION TOWARD </w:t>
      </w:r>
      <w:r w:rsidR="00CF70D6" w:rsidRPr="00486067">
        <w:rPr>
          <w:rFonts w:ascii="Cambria" w:hAnsi="Cambria" w:cs="Arial"/>
          <w:b/>
          <w:sz w:val="24"/>
          <w:szCs w:val="24"/>
        </w:rPr>
        <w:t xml:space="preserve">UNDERGROUND </w:t>
      </w:r>
    </w:p>
    <w:p w:rsidR="00CF70D6" w:rsidRPr="00486067" w:rsidRDefault="00CF70D6" w:rsidP="00D24412">
      <w:pPr>
        <w:spacing w:after="0" w:line="240" w:lineRule="auto"/>
        <w:jc w:val="center"/>
        <w:rPr>
          <w:rFonts w:ascii="Cambria" w:hAnsi="Cambria" w:cs="Arial"/>
          <w:b/>
          <w:sz w:val="24"/>
          <w:szCs w:val="24"/>
          <w:lang w:val="id-ID"/>
        </w:rPr>
      </w:pPr>
      <w:r w:rsidRPr="00486067">
        <w:rPr>
          <w:rFonts w:ascii="Cambria" w:hAnsi="Cambria" w:cs="Arial"/>
          <w:b/>
          <w:sz w:val="24"/>
          <w:szCs w:val="24"/>
        </w:rPr>
        <w:t>WATER MANAGEMENT</w:t>
      </w:r>
      <w:r w:rsidRPr="00486067">
        <w:rPr>
          <w:rFonts w:ascii="Cambria" w:hAnsi="Cambria" w:cs="Arial"/>
          <w:b/>
          <w:sz w:val="24"/>
          <w:szCs w:val="24"/>
          <w:lang w:val="id-ID"/>
        </w:rPr>
        <w:t xml:space="preserve"> BASED ON </w:t>
      </w:r>
      <w:r w:rsidRPr="00486067">
        <w:rPr>
          <w:rFonts w:ascii="Cambria" w:hAnsi="Cambria" w:cs="Arial"/>
          <w:b/>
          <w:i/>
          <w:sz w:val="24"/>
          <w:szCs w:val="24"/>
        </w:rPr>
        <w:t xml:space="preserve">LOCAL </w:t>
      </w:r>
      <w:r w:rsidR="009D006E" w:rsidRPr="00486067">
        <w:rPr>
          <w:rFonts w:ascii="Cambria" w:hAnsi="Cambria" w:cs="Arial"/>
          <w:b/>
          <w:i/>
          <w:sz w:val="24"/>
          <w:szCs w:val="24"/>
          <w:lang w:val="id-ID"/>
        </w:rPr>
        <w:t xml:space="preserve">GOVERNMENT  </w:t>
      </w:r>
      <w:r w:rsidRPr="00486067">
        <w:rPr>
          <w:rFonts w:ascii="Cambria" w:hAnsi="Cambria" w:cs="Arial"/>
          <w:b/>
          <w:i/>
          <w:sz w:val="24"/>
          <w:szCs w:val="24"/>
        </w:rPr>
        <w:t>REGULATION N</w:t>
      </w:r>
      <w:r w:rsidRPr="00486067">
        <w:rPr>
          <w:rFonts w:ascii="Cambria" w:hAnsi="Cambria" w:cs="Arial"/>
          <w:b/>
          <w:i/>
          <w:sz w:val="24"/>
          <w:szCs w:val="24"/>
          <w:lang w:val="id-ID"/>
        </w:rPr>
        <w:t>O</w:t>
      </w:r>
      <w:r w:rsidRPr="00486067">
        <w:rPr>
          <w:rFonts w:ascii="Cambria" w:hAnsi="Cambria" w:cs="Arial"/>
          <w:b/>
          <w:i/>
          <w:sz w:val="24"/>
          <w:szCs w:val="24"/>
        </w:rPr>
        <w:t>. 10 OF 2002</w:t>
      </w:r>
      <w:r w:rsidR="005C6D31" w:rsidRPr="00486067">
        <w:rPr>
          <w:rFonts w:ascii="Cambria" w:hAnsi="Cambria" w:cs="Arial"/>
          <w:b/>
          <w:i/>
          <w:sz w:val="24"/>
          <w:szCs w:val="24"/>
          <w:lang w:val="id-ID"/>
        </w:rPr>
        <w:t>*)</w:t>
      </w:r>
    </w:p>
    <w:p w:rsidR="00CF70D6" w:rsidRPr="00486067" w:rsidRDefault="00CF70D6" w:rsidP="00D24412">
      <w:pPr>
        <w:spacing w:after="0" w:line="240" w:lineRule="auto"/>
        <w:jc w:val="center"/>
        <w:rPr>
          <w:rFonts w:ascii="Cambria" w:hAnsi="Cambria" w:cs="Arial"/>
          <w:b/>
          <w:sz w:val="24"/>
          <w:szCs w:val="24"/>
        </w:rPr>
      </w:pPr>
    </w:p>
    <w:p w:rsidR="00FD5F43" w:rsidRPr="00486067" w:rsidRDefault="00CF70D6" w:rsidP="00D24412">
      <w:pPr>
        <w:spacing w:after="120" w:line="240" w:lineRule="auto"/>
        <w:jc w:val="center"/>
        <w:rPr>
          <w:rFonts w:ascii="Cambria" w:hAnsi="Cambria" w:cs="Arial"/>
          <w:sz w:val="24"/>
          <w:szCs w:val="24"/>
        </w:rPr>
      </w:pPr>
      <w:r w:rsidRPr="00486067">
        <w:rPr>
          <w:rFonts w:ascii="Cambria" w:hAnsi="Cambria" w:cs="Arial"/>
          <w:b/>
          <w:sz w:val="24"/>
          <w:szCs w:val="24"/>
        </w:rPr>
        <w:t>Irmawatty Paula Tamburaka</w:t>
      </w:r>
      <w:r w:rsidR="0048465B" w:rsidRPr="00486067">
        <w:rPr>
          <w:rFonts w:ascii="Cambria" w:hAnsi="Cambria" w:cs="Arial"/>
          <w:b/>
          <w:sz w:val="24"/>
          <w:szCs w:val="24"/>
          <w:lang w:val="id-ID"/>
        </w:rPr>
        <w:t>**</w:t>
      </w:r>
      <w:r w:rsidR="005C6D31" w:rsidRPr="00486067">
        <w:rPr>
          <w:rFonts w:ascii="Cambria" w:hAnsi="Cambria" w:cs="Arial"/>
          <w:b/>
          <w:sz w:val="24"/>
          <w:szCs w:val="24"/>
          <w:lang w:val="id-ID"/>
        </w:rPr>
        <w:t>)</w:t>
      </w:r>
    </w:p>
    <w:p w:rsidR="00CF70D6" w:rsidRPr="00486067" w:rsidRDefault="00CF70D6" w:rsidP="00D24412">
      <w:pPr>
        <w:spacing w:after="120" w:line="240" w:lineRule="auto"/>
        <w:jc w:val="center"/>
        <w:rPr>
          <w:rFonts w:ascii="Cambria" w:hAnsi="Cambria" w:cs="Arial"/>
          <w:i/>
          <w:sz w:val="24"/>
          <w:szCs w:val="24"/>
        </w:rPr>
      </w:pPr>
      <w:r w:rsidRPr="00486067">
        <w:rPr>
          <w:rFonts w:ascii="Cambria" w:hAnsi="Cambria" w:cs="Arial"/>
          <w:i/>
          <w:sz w:val="24"/>
          <w:szCs w:val="24"/>
        </w:rPr>
        <w:t>Abstract</w:t>
      </w:r>
    </w:p>
    <w:p w:rsidR="00887821" w:rsidRPr="00486067" w:rsidRDefault="000E3B13" w:rsidP="00D24412">
      <w:pPr>
        <w:spacing w:line="240" w:lineRule="auto"/>
        <w:jc w:val="both"/>
        <w:rPr>
          <w:rFonts w:ascii="Cambria" w:hAnsi="Cambria" w:cs="Arial"/>
          <w:i/>
          <w:sz w:val="20"/>
          <w:szCs w:val="20"/>
          <w:lang w:val="id-ID"/>
        </w:rPr>
      </w:pPr>
      <w:r w:rsidRPr="00486067">
        <w:rPr>
          <w:rFonts w:ascii="Cambria" w:hAnsi="Cambria" w:cs="Arial"/>
          <w:i/>
          <w:sz w:val="20"/>
          <w:szCs w:val="20"/>
          <w:lang w:val="id-ID"/>
        </w:rPr>
        <w:t xml:space="preserve">The objective of this research in aim at finding out the information related to the </w:t>
      </w:r>
      <w:r w:rsidR="00CF70D6" w:rsidRPr="00486067">
        <w:rPr>
          <w:rFonts w:ascii="Cambria" w:hAnsi="Cambria" w:cs="Arial"/>
          <w:i/>
          <w:sz w:val="20"/>
          <w:szCs w:val="20"/>
        </w:rPr>
        <w:t xml:space="preserve">implementation of Local </w:t>
      </w:r>
      <w:r w:rsidR="009D006E" w:rsidRPr="00486067">
        <w:rPr>
          <w:rFonts w:ascii="Cambria" w:hAnsi="Cambria" w:cs="Arial"/>
          <w:i/>
          <w:sz w:val="20"/>
          <w:szCs w:val="20"/>
          <w:lang w:val="id-ID"/>
        </w:rPr>
        <w:t xml:space="preserve">Government </w:t>
      </w:r>
      <w:r w:rsidR="00CF70D6" w:rsidRPr="00486067">
        <w:rPr>
          <w:rFonts w:ascii="Cambria" w:hAnsi="Cambria" w:cs="Arial"/>
          <w:i/>
          <w:sz w:val="20"/>
          <w:szCs w:val="20"/>
        </w:rPr>
        <w:t xml:space="preserve">Regulation No.10 2002 </w:t>
      </w:r>
      <w:r w:rsidRPr="00486067">
        <w:rPr>
          <w:rFonts w:ascii="Cambria" w:hAnsi="Cambria" w:cs="Arial"/>
          <w:i/>
          <w:sz w:val="20"/>
          <w:szCs w:val="20"/>
          <w:lang w:val="id-ID"/>
        </w:rPr>
        <w:t xml:space="preserve">obout </w:t>
      </w:r>
      <w:r w:rsidR="00CF70D6" w:rsidRPr="00486067">
        <w:rPr>
          <w:rFonts w:ascii="Cambria" w:hAnsi="Cambria" w:cs="Arial"/>
          <w:i/>
          <w:sz w:val="20"/>
          <w:szCs w:val="20"/>
        </w:rPr>
        <w:t xml:space="preserve"> </w:t>
      </w:r>
      <w:r w:rsidRPr="00486067">
        <w:rPr>
          <w:rFonts w:ascii="Cambria" w:hAnsi="Cambria" w:cs="Arial"/>
          <w:i/>
          <w:sz w:val="20"/>
          <w:szCs w:val="20"/>
        </w:rPr>
        <w:t xml:space="preserve">underground water </w:t>
      </w:r>
      <w:r w:rsidR="00CF70D6" w:rsidRPr="00486067">
        <w:rPr>
          <w:rFonts w:ascii="Cambria" w:hAnsi="Cambria" w:cs="Arial"/>
          <w:i/>
          <w:sz w:val="20"/>
          <w:szCs w:val="20"/>
        </w:rPr>
        <w:t>management</w:t>
      </w:r>
      <w:r w:rsidRPr="00486067">
        <w:rPr>
          <w:rFonts w:ascii="Cambria" w:hAnsi="Cambria" w:cs="Arial"/>
          <w:i/>
          <w:sz w:val="20"/>
          <w:szCs w:val="20"/>
          <w:lang w:val="id-ID"/>
        </w:rPr>
        <w:t>.</w:t>
      </w:r>
      <w:r w:rsidR="005C7027" w:rsidRPr="00486067">
        <w:rPr>
          <w:rFonts w:ascii="Cambria" w:hAnsi="Cambria" w:cs="Arial"/>
          <w:i/>
          <w:sz w:val="20"/>
          <w:szCs w:val="20"/>
          <w:lang w:val="id-ID"/>
        </w:rPr>
        <w:t xml:space="preserve"> </w:t>
      </w:r>
    </w:p>
    <w:p w:rsidR="00CF70D6" w:rsidRPr="00486067" w:rsidRDefault="000E3B13" w:rsidP="00D24412">
      <w:pPr>
        <w:spacing w:line="240" w:lineRule="auto"/>
        <w:jc w:val="both"/>
        <w:rPr>
          <w:rFonts w:ascii="Cambria" w:hAnsi="Cambria" w:cs="Arial"/>
          <w:i/>
          <w:sz w:val="20"/>
          <w:szCs w:val="20"/>
          <w:lang w:val="id-ID"/>
        </w:rPr>
      </w:pPr>
      <w:r w:rsidRPr="00486067">
        <w:rPr>
          <w:rFonts w:ascii="Cambria" w:hAnsi="Cambria" w:cs="Arial"/>
          <w:i/>
          <w:sz w:val="20"/>
          <w:szCs w:val="20"/>
          <w:lang w:val="id-ID"/>
        </w:rPr>
        <w:t xml:space="preserve">The research finding reveal that </w:t>
      </w:r>
      <w:r w:rsidR="00CF70D6" w:rsidRPr="00486067">
        <w:rPr>
          <w:rFonts w:ascii="Cambria" w:hAnsi="Cambria" w:cs="Arial"/>
          <w:i/>
          <w:sz w:val="20"/>
          <w:szCs w:val="20"/>
        </w:rPr>
        <w:t xml:space="preserve"> </w:t>
      </w:r>
      <w:r w:rsidRPr="00486067">
        <w:rPr>
          <w:rFonts w:ascii="Cambria" w:hAnsi="Cambria" w:cs="Arial"/>
          <w:i/>
          <w:sz w:val="20"/>
          <w:szCs w:val="20"/>
          <w:lang w:val="id-ID"/>
        </w:rPr>
        <w:t xml:space="preserve">this regulation has been well </w:t>
      </w:r>
      <w:r w:rsidR="009D006E" w:rsidRPr="00486067">
        <w:rPr>
          <w:rFonts w:ascii="Cambria" w:hAnsi="Cambria" w:cs="Arial"/>
          <w:i/>
          <w:sz w:val="20"/>
          <w:szCs w:val="20"/>
          <w:lang w:val="id-ID"/>
        </w:rPr>
        <w:t>implement</w:t>
      </w:r>
      <w:r w:rsidRPr="00486067">
        <w:rPr>
          <w:rFonts w:ascii="Cambria" w:hAnsi="Cambria" w:cs="Arial"/>
          <w:i/>
          <w:sz w:val="20"/>
          <w:szCs w:val="20"/>
          <w:lang w:val="id-ID"/>
        </w:rPr>
        <w:t xml:space="preserve">ed based on data which </w:t>
      </w:r>
      <w:r w:rsidR="009A1CB3" w:rsidRPr="00486067">
        <w:rPr>
          <w:rFonts w:ascii="Cambria" w:hAnsi="Cambria" w:cs="Arial"/>
          <w:i/>
          <w:sz w:val="20"/>
          <w:szCs w:val="20"/>
          <w:lang w:val="id-ID"/>
        </w:rPr>
        <w:t>collected</w:t>
      </w:r>
      <w:r w:rsidRPr="00486067">
        <w:rPr>
          <w:rFonts w:ascii="Cambria" w:hAnsi="Cambria" w:cs="Arial"/>
          <w:i/>
          <w:sz w:val="20"/>
          <w:szCs w:val="20"/>
          <w:lang w:val="id-ID"/>
        </w:rPr>
        <w:t xml:space="preserve"> by applying interview. </w:t>
      </w:r>
      <w:r w:rsidR="00040901" w:rsidRPr="00486067">
        <w:rPr>
          <w:rFonts w:ascii="Cambria" w:hAnsi="Cambria" w:cs="Arial"/>
          <w:i/>
          <w:sz w:val="20"/>
          <w:szCs w:val="20"/>
        </w:rPr>
        <w:t xml:space="preserve">Most </w:t>
      </w:r>
      <w:r w:rsidRPr="00486067">
        <w:rPr>
          <w:rFonts w:ascii="Cambria" w:hAnsi="Cambria" w:cs="Arial"/>
          <w:i/>
          <w:sz w:val="20"/>
          <w:szCs w:val="20"/>
          <w:lang w:val="id-ID"/>
        </w:rPr>
        <w:t>of Bekasi people stuted that information about this regulation formal from other people and well soci</w:t>
      </w:r>
      <w:r w:rsidR="000F11D8" w:rsidRPr="00486067">
        <w:rPr>
          <w:rFonts w:ascii="Cambria" w:hAnsi="Cambria" w:cs="Arial"/>
          <w:i/>
          <w:sz w:val="20"/>
          <w:szCs w:val="20"/>
          <w:lang w:val="id-ID"/>
        </w:rPr>
        <w:t>a</w:t>
      </w:r>
      <w:r w:rsidRPr="00486067">
        <w:rPr>
          <w:rFonts w:ascii="Cambria" w:hAnsi="Cambria" w:cs="Arial"/>
          <w:i/>
          <w:sz w:val="20"/>
          <w:szCs w:val="20"/>
          <w:lang w:val="id-ID"/>
        </w:rPr>
        <w:t>lized by  local goverment in change of</w:t>
      </w:r>
      <w:r w:rsidR="00CF70D6" w:rsidRPr="00486067">
        <w:rPr>
          <w:rFonts w:ascii="Cambria" w:hAnsi="Cambria" w:cs="Arial"/>
          <w:i/>
          <w:sz w:val="20"/>
          <w:szCs w:val="20"/>
        </w:rPr>
        <w:t xml:space="preserve">.  </w:t>
      </w:r>
    </w:p>
    <w:p w:rsidR="00CF70D6" w:rsidRPr="00486067" w:rsidRDefault="00CF70D6" w:rsidP="00D24412">
      <w:pPr>
        <w:spacing w:line="240" w:lineRule="auto"/>
        <w:jc w:val="both"/>
        <w:rPr>
          <w:rFonts w:ascii="Cambria" w:hAnsi="Cambria" w:cs="Arial"/>
          <w:i/>
          <w:sz w:val="20"/>
          <w:szCs w:val="20"/>
        </w:rPr>
        <w:sectPr w:rsidR="00CF70D6" w:rsidRPr="00486067" w:rsidSect="00BC241C">
          <w:headerReference w:type="even" r:id="rId8"/>
          <w:headerReference w:type="default" r:id="rId9"/>
          <w:footerReference w:type="even" r:id="rId10"/>
          <w:footerReference w:type="default" r:id="rId11"/>
          <w:headerReference w:type="first" r:id="rId12"/>
          <w:footerReference w:type="first" r:id="rId13"/>
          <w:pgSz w:w="12240" w:h="15840"/>
          <w:pgMar w:top="1872" w:right="1728" w:bottom="1728" w:left="1872" w:header="720" w:footer="437" w:gutter="0"/>
          <w:pgNumType w:start="20"/>
          <w:cols w:space="720"/>
          <w:docGrid w:linePitch="360"/>
        </w:sectPr>
      </w:pPr>
    </w:p>
    <w:p w:rsidR="00CF70D6" w:rsidRPr="00486067" w:rsidRDefault="00CF70D6" w:rsidP="00D24412">
      <w:pPr>
        <w:spacing w:line="240" w:lineRule="auto"/>
        <w:jc w:val="both"/>
        <w:rPr>
          <w:rFonts w:ascii="Cambria" w:hAnsi="Cambria" w:cs="Arial"/>
          <w:i/>
          <w:sz w:val="20"/>
          <w:szCs w:val="20"/>
          <w:lang w:val="id-ID"/>
        </w:rPr>
      </w:pPr>
      <w:r w:rsidRPr="00486067">
        <w:rPr>
          <w:rFonts w:ascii="Cambria" w:hAnsi="Cambria" w:cs="Arial"/>
          <w:i/>
          <w:sz w:val="20"/>
          <w:szCs w:val="20"/>
        </w:rPr>
        <w:t>Key Words: Implementation, Policy, Underground water</w:t>
      </w:r>
    </w:p>
    <w:p w:rsidR="009D274F" w:rsidRPr="00486067" w:rsidRDefault="009D274F" w:rsidP="00D24412">
      <w:pPr>
        <w:spacing w:line="240" w:lineRule="auto"/>
        <w:jc w:val="both"/>
        <w:rPr>
          <w:rFonts w:ascii="Cambria" w:hAnsi="Cambria" w:cs="Arial"/>
          <w:i/>
          <w:sz w:val="24"/>
          <w:szCs w:val="24"/>
          <w:lang w:val="id-ID"/>
        </w:rPr>
      </w:pPr>
    </w:p>
    <w:p w:rsidR="009D274F" w:rsidRPr="00486067" w:rsidRDefault="009D274F" w:rsidP="00D24412">
      <w:pPr>
        <w:spacing w:line="240" w:lineRule="auto"/>
        <w:jc w:val="both"/>
        <w:rPr>
          <w:rFonts w:ascii="Cambria" w:hAnsi="Cambria" w:cs="Arial"/>
          <w:i/>
          <w:sz w:val="24"/>
          <w:szCs w:val="24"/>
          <w:lang w:val="id-ID"/>
        </w:rPr>
        <w:sectPr w:rsidR="009D274F" w:rsidRPr="00486067" w:rsidSect="005C6D31">
          <w:type w:val="continuous"/>
          <w:pgSz w:w="12240" w:h="15840"/>
          <w:pgMar w:top="1872" w:right="1728" w:bottom="1728" w:left="1872" w:header="720" w:footer="437" w:gutter="0"/>
          <w:cols w:space="720"/>
          <w:docGrid w:linePitch="360"/>
        </w:sectPr>
      </w:pPr>
    </w:p>
    <w:p w:rsidR="003A6DDA" w:rsidRPr="00486067" w:rsidRDefault="003A6DDA" w:rsidP="00D24412">
      <w:pPr>
        <w:spacing w:line="240" w:lineRule="auto"/>
        <w:rPr>
          <w:rFonts w:ascii="Cambria" w:hAnsi="Cambria" w:cs="Arial"/>
          <w:b/>
          <w:sz w:val="24"/>
          <w:szCs w:val="24"/>
        </w:rPr>
      </w:pPr>
      <w:r w:rsidRPr="00486067">
        <w:rPr>
          <w:rFonts w:ascii="Cambria" w:hAnsi="Cambria" w:cs="Arial"/>
          <w:b/>
          <w:sz w:val="24"/>
          <w:szCs w:val="24"/>
        </w:rPr>
        <w:t>INTRODUCTION</w:t>
      </w:r>
    </w:p>
    <w:p w:rsidR="008A4BFD" w:rsidRPr="00486067" w:rsidRDefault="008A4BFD" w:rsidP="00D24412">
      <w:pPr>
        <w:spacing w:before="120" w:after="120" w:line="240" w:lineRule="auto"/>
        <w:jc w:val="both"/>
        <w:rPr>
          <w:rFonts w:ascii="Cambria" w:hAnsi="Cambria" w:cs="Arial"/>
          <w:sz w:val="24"/>
          <w:szCs w:val="24"/>
        </w:rPr>
      </w:pPr>
      <w:r w:rsidRPr="00486067">
        <w:rPr>
          <w:rFonts w:ascii="Cambria" w:hAnsi="Cambria" w:cs="Arial"/>
          <w:sz w:val="24"/>
          <w:szCs w:val="24"/>
        </w:rPr>
        <w:t>(Howlett &amp; Rames, 1995, 7) Public policy is a complex phenomenon consisting of numerous decision made by numerous individual and organization. It is often shaped by earlier policies and frequently linked closely with other seemingly unrelated decisions.</w:t>
      </w:r>
      <w:r w:rsidR="0025773B" w:rsidRPr="00486067">
        <w:rPr>
          <w:rFonts w:ascii="Cambria" w:hAnsi="Cambria" w:cs="Arial"/>
          <w:sz w:val="24"/>
          <w:szCs w:val="24"/>
        </w:rPr>
        <w:t xml:space="preserve"> </w:t>
      </w:r>
      <w:r w:rsidRPr="00486067">
        <w:rPr>
          <w:rFonts w:ascii="Cambria" w:hAnsi="Cambria" w:cs="Arial"/>
          <w:sz w:val="24"/>
          <w:szCs w:val="24"/>
        </w:rPr>
        <w:t>(James Anderson, 2000, 4), Public Policy is a relative stable, purposive course of action followed by an actor or set of actors in dealing with a problem or matter of concern.</w:t>
      </w:r>
    </w:p>
    <w:p w:rsidR="00ED3EFD" w:rsidRPr="00486067" w:rsidRDefault="008A4BFD"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(Patton &amp; Savicky, 1986, 3), Policy analysist are often required to give advice </w:t>
      </w:r>
      <w:r w:rsidR="00ED3EFD" w:rsidRPr="00486067">
        <w:rPr>
          <w:rFonts w:ascii="Cambria" w:hAnsi="Cambria" w:cs="Arial"/>
          <w:sz w:val="24"/>
          <w:szCs w:val="24"/>
        </w:rPr>
        <w:t xml:space="preserve"> </w:t>
      </w:r>
      <w:r w:rsidRPr="00486067">
        <w:rPr>
          <w:rFonts w:ascii="Cambria" w:hAnsi="Cambria" w:cs="Arial"/>
          <w:sz w:val="24"/>
          <w:szCs w:val="24"/>
        </w:rPr>
        <w:t xml:space="preserve">to policy </w:t>
      </w:r>
      <w:r w:rsidR="00ED3EFD" w:rsidRPr="00486067">
        <w:rPr>
          <w:rFonts w:ascii="Cambria" w:hAnsi="Cambria" w:cs="Arial"/>
          <w:sz w:val="24"/>
          <w:szCs w:val="24"/>
        </w:rPr>
        <w:t xml:space="preserve"> </w:t>
      </w:r>
      <w:r w:rsidRPr="00486067">
        <w:rPr>
          <w:rFonts w:ascii="Cambria" w:hAnsi="Cambria" w:cs="Arial"/>
          <w:sz w:val="24"/>
          <w:szCs w:val="24"/>
        </w:rPr>
        <w:t xml:space="preserve">maker in </w:t>
      </w:r>
      <w:r w:rsidR="00ED3EFD" w:rsidRPr="00486067">
        <w:rPr>
          <w:rFonts w:ascii="Cambria" w:hAnsi="Cambria" w:cs="Arial"/>
          <w:sz w:val="24"/>
          <w:szCs w:val="24"/>
        </w:rPr>
        <w:t xml:space="preserve"> </w:t>
      </w:r>
      <w:r w:rsidRPr="00486067">
        <w:rPr>
          <w:rFonts w:ascii="Cambria" w:hAnsi="Cambria" w:cs="Arial"/>
          <w:sz w:val="24"/>
          <w:szCs w:val="24"/>
        </w:rPr>
        <w:t xml:space="preserve">incredible short </w:t>
      </w:r>
      <w:r w:rsidR="000373AE" w:rsidRPr="00486067">
        <w:rPr>
          <w:rFonts w:ascii="Cambria" w:hAnsi="Cambria" w:cs="Arial"/>
          <w:sz w:val="24"/>
          <w:szCs w:val="24"/>
        </w:rPr>
        <w:t xml:space="preserve">  </w:t>
      </w:r>
      <w:r w:rsidRPr="00486067">
        <w:rPr>
          <w:rFonts w:ascii="Cambria" w:hAnsi="Cambria" w:cs="Arial"/>
          <w:sz w:val="24"/>
          <w:szCs w:val="24"/>
        </w:rPr>
        <w:t xml:space="preserve">periods </w:t>
      </w:r>
      <w:r w:rsidR="000373AE" w:rsidRPr="00486067">
        <w:rPr>
          <w:rFonts w:ascii="Cambria" w:hAnsi="Cambria" w:cs="Arial"/>
          <w:sz w:val="24"/>
          <w:szCs w:val="24"/>
        </w:rPr>
        <w:t xml:space="preserve"> </w:t>
      </w:r>
      <w:r w:rsidRPr="00486067">
        <w:rPr>
          <w:rFonts w:ascii="Cambria" w:hAnsi="Cambria" w:cs="Arial"/>
          <w:sz w:val="24"/>
          <w:szCs w:val="24"/>
        </w:rPr>
        <w:t xml:space="preserve">of </w:t>
      </w:r>
      <w:r w:rsidR="000373AE" w:rsidRPr="00486067">
        <w:rPr>
          <w:rFonts w:ascii="Cambria" w:hAnsi="Cambria" w:cs="Arial"/>
          <w:sz w:val="24"/>
          <w:szCs w:val="24"/>
        </w:rPr>
        <w:t xml:space="preserve">  </w:t>
      </w:r>
      <w:r w:rsidRPr="00486067">
        <w:rPr>
          <w:rFonts w:ascii="Cambria" w:hAnsi="Cambria" w:cs="Arial"/>
          <w:sz w:val="24"/>
          <w:szCs w:val="24"/>
        </w:rPr>
        <w:t xml:space="preserve">time, </w:t>
      </w:r>
      <w:r w:rsidR="000373AE" w:rsidRPr="00486067">
        <w:rPr>
          <w:rFonts w:ascii="Cambria" w:hAnsi="Cambria" w:cs="Arial"/>
          <w:sz w:val="24"/>
          <w:szCs w:val="24"/>
        </w:rPr>
        <w:t xml:space="preserve"> </w:t>
      </w:r>
      <w:r w:rsidRPr="00486067">
        <w:rPr>
          <w:rFonts w:ascii="Cambria" w:hAnsi="Cambria" w:cs="Arial"/>
          <w:sz w:val="24"/>
          <w:szCs w:val="24"/>
        </w:rPr>
        <w:t xml:space="preserve">in </w:t>
      </w:r>
      <w:r w:rsidR="000373AE" w:rsidRPr="00486067">
        <w:rPr>
          <w:rFonts w:ascii="Cambria" w:hAnsi="Cambria" w:cs="Arial"/>
          <w:sz w:val="24"/>
          <w:szCs w:val="24"/>
        </w:rPr>
        <w:t xml:space="preserve"> </w:t>
      </w:r>
      <w:r w:rsidRPr="00486067">
        <w:rPr>
          <w:rFonts w:ascii="Cambria" w:hAnsi="Cambria" w:cs="Arial"/>
          <w:sz w:val="24"/>
          <w:szCs w:val="24"/>
        </w:rPr>
        <w:t>contrast</w:t>
      </w:r>
      <w:r w:rsidR="000373AE" w:rsidRPr="00486067">
        <w:rPr>
          <w:rFonts w:ascii="Cambria" w:hAnsi="Cambria" w:cs="Arial"/>
          <w:sz w:val="24"/>
          <w:szCs w:val="24"/>
        </w:rPr>
        <w:t xml:space="preserve">  </w:t>
      </w:r>
      <w:r w:rsidRPr="00486067">
        <w:rPr>
          <w:rFonts w:ascii="Cambria" w:hAnsi="Cambria" w:cs="Arial"/>
          <w:sz w:val="24"/>
          <w:szCs w:val="24"/>
        </w:rPr>
        <w:t xml:space="preserve">to </w:t>
      </w:r>
      <w:r w:rsidR="000D28C7" w:rsidRPr="00486067">
        <w:rPr>
          <w:rFonts w:ascii="Cambria" w:hAnsi="Cambria" w:cs="Arial"/>
          <w:sz w:val="24"/>
          <w:szCs w:val="24"/>
        </w:rPr>
        <w:t xml:space="preserve">university researcher and think tank consultant </w:t>
      </w:r>
      <w:r w:rsidR="00B957A1" w:rsidRPr="00486067">
        <w:rPr>
          <w:rFonts w:ascii="Cambria" w:hAnsi="Cambria" w:cs="Arial"/>
          <w:sz w:val="24"/>
          <w:szCs w:val="24"/>
        </w:rPr>
        <w:t xml:space="preserve"> </w:t>
      </w:r>
      <w:r w:rsidR="000D28C7" w:rsidRPr="00486067">
        <w:rPr>
          <w:rFonts w:ascii="Cambria" w:hAnsi="Cambria" w:cs="Arial"/>
          <w:sz w:val="24"/>
          <w:szCs w:val="24"/>
        </w:rPr>
        <w:t xml:space="preserve">who </w:t>
      </w:r>
      <w:r w:rsidR="00B957A1" w:rsidRPr="00486067">
        <w:rPr>
          <w:rFonts w:ascii="Cambria" w:hAnsi="Cambria" w:cs="Arial"/>
          <w:sz w:val="24"/>
          <w:szCs w:val="24"/>
        </w:rPr>
        <w:t xml:space="preserve"> </w:t>
      </w:r>
      <w:r w:rsidR="000D28C7" w:rsidRPr="00486067">
        <w:rPr>
          <w:rFonts w:ascii="Cambria" w:hAnsi="Cambria" w:cs="Arial"/>
          <w:sz w:val="24"/>
          <w:szCs w:val="24"/>
        </w:rPr>
        <w:t xml:space="preserve">are hired </w:t>
      </w:r>
      <w:r w:rsidR="00B957A1" w:rsidRPr="00486067">
        <w:rPr>
          <w:rFonts w:ascii="Cambria" w:hAnsi="Cambria" w:cs="Arial"/>
          <w:sz w:val="24"/>
          <w:szCs w:val="24"/>
        </w:rPr>
        <w:t xml:space="preserve"> </w:t>
      </w:r>
      <w:r w:rsidR="000D28C7" w:rsidRPr="00486067">
        <w:rPr>
          <w:rFonts w:ascii="Cambria" w:hAnsi="Cambria" w:cs="Arial"/>
          <w:sz w:val="24"/>
          <w:szCs w:val="24"/>
        </w:rPr>
        <w:t>specifically to</w:t>
      </w:r>
      <w:r w:rsidR="002D1703" w:rsidRPr="00486067">
        <w:rPr>
          <w:rFonts w:ascii="Cambria" w:hAnsi="Cambria" w:cs="Arial"/>
          <w:sz w:val="24"/>
          <w:szCs w:val="24"/>
        </w:rPr>
        <w:t xml:space="preserve"> type of work policy studies or policy research.</w:t>
      </w:r>
    </w:p>
    <w:p w:rsidR="0025773B" w:rsidRPr="00486067" w:rsidRDefault="008E3D2A" w:rsidP="00D24412">
      <w:pPr>
        <w:spacing w:before="120" w:after="120" w:line="240" w:lineRule="auto"/>
        <w:jc w:val="both"/>
        <w:rPr>
          <w:rFonts w:ascii="Cambria" w:hAnsi="Cambria" w:cs="Arial"/>
          <w:sz w:val="24"/>
          <w:szCs w:val="24"/>
        </w:rPr>
      </w:pPr>
      <w:r w:rsidRPr="00486067">
        <w:rPr>
          <w:rFonts w:ascii="Cambria" w:hAnsi="Cambria" w:cs="Arial"/>
          <w:sz w:val="24"/>
          <w:szCs w:val="24"/>
        </w:rPr>
        <w:t>conduct intensive research on public policy issues. Some have called this later</w:t>
      </w:r>
      <w:r w:rsidR="009D274F" w:rsidRPr="00486067">
        <w:rPr>
          <w:rFonts w:ascii="Cambria" w:hAnsi="Cambria" w:cs="Arial"/>
          <w:sz w:val="24"/>
          <w:szCs w:val="24"/>
          <w:lang w:val="id-ID"/>
        </w:rPr>
        <w:t xml:space="preserve"> </w:t>
      </w:r>
      <w:r w:rsidR="0025773B" w:rsidRPr="00486067">
        <w:rPr>
          <w:rFonts w:ascii="Cambria" w:hAnsi="Cambria" w:cs="Arial"/>
          <w:sz w:val="24"/>
          <w:szCs w:val="24"/>
        </w:rPr>
        <w:t xml:space="preserve">(Odum, Eugene, 1983, 257), One important source of water is </w:t>
      </w:r>
      <w:r w:rsidR="0025773B" w:rsidRPr="00486067">
        <w:rPr>
          <w:rFonts w:ascii="Cambria" w:hAnsi="Cambria" w:cs="Arial"/>
          <w:sz w:val="24"/>
          <w:szCs w:val="24"/>
        </w:rPr>
        <w:t xml:space="preserve">underground water, so it must be maintained in order to provide access to many areas in order to meet the needs of more water irrigated, agricultural areas of the city and site of frequent drought will need to be aware of water resources.  </w:t>
      </w:r>
    </w:p>
    <w:p w:rsidR="006E475E" w:rsidRPr="00486067" w:rsidRDefault="006E475E" w:rsidP="00D24412">
      <w:pPr>
        <w:spacing w:before="120" w:after="120" w:line="240" w:lineRule="auto"/>
        <w:jc w:val="both"/>
        <w:rPr>
          <w:rFonts w:ascii="Cambria" w:hAnsi="Cambria" w:cs="Arial"/>
          <w:sz w:val="24"/>
          <w:szCs w:val="24"/>
        </w:rPr>
      </w:pPr>
      <w:r w:rsidRPr="00486067">
        <w:rPr>
          <w:rFonts w:ascii="Cambria" w:hAnsi="Cambria" w:cs="Arial"/>
          <w:sz w:val="24"/>
          <w:szCs w:val="24"/>
        </w:rPr>
        <w:t>McLenan, 1980, 342), The process by which public policy is formulated, the</w:t>
      </w:r>
      <w:r w:rsidR="009D274F" w:rsidRPr="00486067">
        <w:rPr>
          <w:rFonts w:ascii="Cambria" w:hAnsi="Cambria" w:cs="Arial"/>
          <w:sz w:val="24"/>
          <w:szCs w:val="24"/>
        </w:rPr>
        <w:t>reforce, reflect government dic</w:t>
      </w:r>
      <w:r w:rsidR="009D274F" w:rsidRPr="00486067">
        <w:rPr>
          <w:rFonts w:ascii="Cambria" w:hAnsi="Cambria" w:cs="Arial"/>
          <w:sz w:val="24"/>
          <w:szCs w:val="24"/>
          <w:lang w:val="id-ID"/>
        </w:rPr>
        <w:t>u</w:t>
      </w:r>
      <w:r w:rsidRPr="00486067">
        <w:rPr>
          <w:rFonts w:ascii="Cambria" w:hAnsi="Cambria" w:cs="Arial"/>
          <w:sz w:val="24"/>
          <w:szCs w:val="24"/>
        </w:rPr>
        <w:t>ssion about how to maximize administrative efficiency and to enchance the legitimacy of established regime.</w:t>
      </w:r>
    </w:p>
    <w:p w:rsidR="008C775B" w:rsidRPr="00486067" w:rsidRDefault="008C775B" w:rsidP="00D24412">
      <w:pPr>
        <w:spacing w:before="120" w:after="120" w:line="240" w:lineRule="auto"/>
        <w:jc w:val="both"/>
        <w:rPr>
          <w:rFonts w:ascii="Cambria" w:hAnsi="Cambria" w:cs="Arial"/>
          <w:sz w:val="24"/>
          <w:szCs w:val="24"/>
        </w:rPr>
      </w:pPr>
      <w:r w:rsidRPr="00486067">
        <w:rPr>
          <w:rFonts w:ascii="Cambria" w:hAnsi="Cambria" w:cs="Arial"/>
          <w:sz w:val="24"/>
          <w:szCs w:val="24"/>
        </w:rPr>
        <w:t>Dunn, 2004, 80), Policy analysis is the intellectual and practical activity aimed at creating critically assess and communicate knowledge and the policy process.</w:t>
      </w:r>
    </w:p>
    <w:p w:rsidR="00283E3F" w:rsidRPr="00486067" w:rsidRDefault="00E96019" w:rsidP="00D24412">
      <w:pPr>
        <w:spacing w:before="120" w:after="120" w:line="240" w:lineRule="auto"/>
        <w:jc w:val="both"/>
        <w:rPr>
          <w:rFonts w:ascii="Cambria" w:hAnsi="Cambria" w:cs="Arial"/>
          <w:sz w:val="24"/>
          <w:szCs w:val="24"/>
        </w:rPr>
      </w:pPr>
      <w:r>
        <w:rPr>
          <w:rFonts w:ascii="Cambria" w:hAnsi="Cambria" w:cs="Arial"/>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-3027045</wp:posOffset>
                </wp:positionH>
                <wp:positionV relativeFrom="paragraph">
                  <wp:posOffset>1184275</wp:posOffset>
                </wp:positionV>
                <wp:extent cx="4956810" cy="61087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98" w:rsidRDefault="00E03998" w:rsidP="00C637ED">
                            <w:pPr>
                              <w:spacing w:after="0" w:line="240" w:lineRule="auto"/>
                              <w:ind w:left="142" w:right="400" w:hanging="142"/>
                              <w:rPr>
                                <w:rFonts w:asciiTheme="majorHAnsi" w:hAnsiTheme="majorHAnsi"/>
                                <w:sz w:val="20"/>
                                <w:szCs w:val="20"/>
                                <w:lang w:val="id-ID"/>
                              </w:rPr>
                            </w:pPr>
                            <w:r>
                              <w:rPr>
                                <w:rFonts w:asciiTheme="majorHAnsi" w:hAnsiTheme="majorHAnsi"/>
                                <w:sz w:val="20"/>
                                <w:szCs w:val="20"/>
                                <w:lang w:val="id-ID"/>
                              </w:rPr>
                              <w:t>*</w:t>
                            </w:r>
                            <w:r w:rsidR="002D3FFA">
                              <w:rPr>
                                <w:rFonts w:asciiTheme="majorHAnsi" w:hAnsiTheme="majorHAnsi"/>
                                <w:sz w:val="20"/>
                                <w:szCs w:val="20"/>
                                <w:lang w:val="id-ID"/>
                              </w:rPr>
                              <w:t xml:space="preserve">Dipertahankan di hadapan Sidang Senat Univ. Negeri Jakarta dalam rangka Promosi Doktor, </w:t>
                            </w:r>
                            <w:r w:rsidRPr="0048465B">
                              <w:rPr>
                                <w:rFonts w:asciiTheme="majorHAnsi" w:hAnsiTheme="majorHAnsi"/>
                                <w:sz w:val="20"/>
                                <w:szCs w:val="20"/>
                                <w:lang w:val="id-ID"/>
                              </w:rPr>
                              <w:t>dengan P</w:t>
                            </w:r>
                            <w:r>
                              <w:rPr>
                                <w:rFonts w:asciiTheme="majorHAnsi" w:hAnsiTheme="majorHAnsi"/>
                                <w:sz w:val="20"/>
                                <w:szCs w:val="20"/>
                                <w:lang w:val="id-ID"/>
                              </w:rPr>
                              <w:t>romotor</w:t>
                            </w:r>
                            <w:r w:rsidRPr="0048465B">
                              <w:rPr>
                                <w:rFonts w:asciiTheme="majorHAnsi" w:hAnsiTheme="majorHAnsi"/>
                                <w:sz w:val="20"/>
                                <w:szCs w:val="20"/>
                                <w:lang w:val="id-ID"/>
                              </w:rPr>
                              <w:t xml:space="preserve"> I Made Putrawan dan Rukaesih A. Maolani</w:t>
                            </w:r>
                            <w:r>
                              <w:rPr>
                                <w:rFonts w:asciiTheme="majorHAnsi" w:hAnsiTheme="majorHAnsi"/>
                                <w:sz w:val="20"/>
                                <w:szCs w:val="20"/>
                                <w:lang w:val="id-ID"/>
                              </w:rPr>
                              <w:t xml:space="preserve"> </w:t>
                            </w:r>
                          </w:p>
                          <w:p w:rsidR="00E03998" w:rsidRDefault="00E03998" w:rsidP="00C637ED">
                            <w:pPr>
                              <w:ind w:right="400"/>
                            </w:pPr>
                            <w:r w:rsidRPr="005C6D31">
                              <w:rPr>
                                <w:rFonts w:asciiTheme="majorHAnsi" w:hAnsiTheme="majorHAnsi"/>
                                <w:sz w:val="20"/>
                                <w:szCs w:val="20"/>
                                <w:lang w:val="id-ID"/>
                              </w:rPr>
                              <w:t>**</w:t>
                            </w:r>
                            <w:r w:rsidRPr="0048465B">
                              <w:rPr>
                                <w:rFonts w:asciiTheme="majorHAnsi" w:hAnsiTheme="majorHAnsi"/>
                                <w:sz w:val="20"/>
                                <w:szCs w:val="20"/>
                                <w:lang w:val="id-ID"/>
                              </w:rPr>
                              <w:t>Alumni Program Studi Manajemen Lingkungan PPs UNJ</w:t>
                            </w:r>
                            <w:r>
                              <w:rPr>
                                <w:rFonts w:asciiTheme="majorHAnsi" w:hAnsiTheme="majorHAnsi"/>
                                <w:sz w:val="20"/>
                                <w:szCs w:val="20"/>
                                <w:lang w:val="id-ID"/>
                              </w:rPr>
                              <w:t xml:space="preserve"> &amp; Dosen Univ. Haluole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35pt;margin-top:93.25pt;width:390.3pt;height:4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RX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" filled="f" stroked="f">
                <v:textbox>
                  <w:txbxContent>
                    <w:p w:rsidR="00E03998" w:rsidRDefault="00E03998" w:rsidP="00C637ED">
                      <w:pPr>
                        <w:spacing w:after="0" w:line="240" w:lineRule="auto"/>
                        <w:ind w:left="142" w:right="400" w:hanging="142"/>
                        <w:rPr>
                          <w:rFonts w:asciiTheme="majorHAnsi" w:hAnsiTheme="majorHAnsi"/>
                          <w:sz w:val="20"/>
                          <w:szCs w:val="20"/>
                          <w:lang w:val="id-ID"/>
                        </w:rPr>
                      </w:pPr>
                      <w:r>
                        <w:rPr>
                          <w:rFonts w:asciiTheme="majorHAnsi" w:hAnsiTheme="majorHAnsi"/>
                          <w:sz w:val="20"/>
                          <w:szCs w:val="20"/>
                          <w:lang w:val="id-ID"/>
                        </w:rPr>
                        <w:t>*</w:t>
                      </w:r>
                      <w:r w:rsidR="002D3FFA">
                        <w:rPr>
                          <w:rFonts w:asciiTheme="majorHAnsi" w:hAnsiTheme="majorHAnsi"/>
                          <w:sz w:val="20"/>
                          <w:szCs w:val="20"/>
                          <w:lang w:val="id-ID"/>
                        </w:rPr>
                        <w:t xml:space="preserve">Dipertahankan di hadapan Sidang Senat Univ. Negeri Jakarta dalam rangka Promosi Doktor, </w:t>
                      </w:r>
                      <w:r w:rsidRPr="0048465B">
                        <w:rPr>
                          <w:rFonts w:asciiTheme="majorHAnsi" w:hAnsiTheme="majorHAnsi"/>
                          <w:sz w:val="20"/>
                          <w:szCs w:val="20"/>
                          <w:lang w:val="id-ID"/>
                        </w:rPr>
                        <w:t>dengan P</w:t>
                      </w:r>
                      <w:r>
                        <w:rPr>
                          <w:rFonts w:asciiTheme="majorHAnsi" w:hAnsiTheme="majorHAnsi"/>
                          <w:sz w:val="20"/>
                          <w:szCs w:val="20"/>
                          <w:lang w:val="id-ID"/>
                        </w:rPr>
                        <w:t>romotor</w:t>
                      </w:r>
                      <w:r w:rsidRPr="0048465B">
                        <w:rPr>
                          <w:rFonts w:asciiTheme="majorHAnsi" w:hAnsiTheme="majorHAnsi"/>
                          <w:sz w:val="20"/>
                          <w:szCs w:val="20"/>
                          <w:lang w:val="id-ID"/>
                        </w:rPr>
                        <w:t xml:space="preserve"> I Made Putrawan dan Rukaesih A. Maolani</w:t>
                      </w:r>
                      <w:r>
                        <w:rPr>
                          <w:rFonts w:asciiTheme="majorHAnsi" w:hAnsiTheme="majorHAnsi"/>
                          <w:sz w:val="20"/>
                          <w:szCs w:val="20"/>
                          <w:lang w:val="id-ID"/>
                        </w:rPr>
                        <w:t xml:space="preserve"> </w:t>
                      </w:r>
                    </w:p>
                    <w:p w:rsidR="00E03998" w:rsidRDefault="00E03998" w:rsidP="00C637ED">
                      <w:pPr>
                        <w:ind w:right="400"/>
                      </w:pPr>
                      <w:r w:rsidRPr="005C6D31">
                        <w:rPr>
                          <w:rFonts w:asciiTheme="majorHAnsi" w:hAnsiTheme="majorHAnsi"/>
                          <w:sz w:val="20"/>
                          <w:szCs w:val="20"/>
                          <w:lang w:val="id-ID"/>
                        </w:rPr>
                        <w:t>**</w:t>
                      </w:r>
                      <w:r w:rsidRPr="0048465B">
                        <w:rPr>
                          <w:rFonts w:asciiTheme="majorHAnsi" w:hAnsiTheme="majorHAnsi"/>
                          <w:sz w:val="20"/>
                          <w:szCs w:val="20"/>
                          <w:lang w:val="id-ID"/>
                        </w:rPr>
                        <w:t>Alumni Program Studi Manajemen Lingkungan PPs UNJ</w:t>
                      </w:r>
                      <w:r>
                        <w:rPr>
                          <w:rFonts w:asciiTheme="majorHAnsi" w:hAnsiTheme="majorHAnsi"/>
                          <w:sz w:val="20"/>
                          <w:szCs w:val="20"/>
                          <w:lang w:val="id-ID"/>
                        </w:rPr>
                        <w:t xml:space="preserve"> &amp; Dosen Univ. Haluole</w:t>
                      </w:r>
                    </w:p>
                  </w:txbxContent>
                </v:textbox>
              </v:shape>
            </w:pict>
          </mc:Fallback>
        </mc:AlternateContent>
      </w:r>
      <w:r w:rsidR="00BF5314" w:rsidRPr="00486067">
        <w:rPr>
          <w:rFonts w:ascii="Cambria" w:hAnsi="Cambria" w:cs="Arial"/>
          <w:sz w:val="24"/>
          <w:szCs w:val="24"/>
        </w:rPr>
        <w:t xml:space="preserve">The Indonesian government report to World Water Form III in Kyoto Jepang, stated that 80 percent of the population do not have access to running water, it indicates that the government still has a duty actually great to be able to meet those </w:t>
      </w:r>
      <w:r w:rsidR="00BF5314" w:rsidRPr="00486067">
        <w:rPr>
          <w:rFonts w:ascii="Cambria" w:hAnsi="Cambria" w:cs="Arial"/>
          <w:sz w:val="24"/>
          <w:szCs w:val="24"/>
        </w:rPr>
        <w:lastRenderedPageBreak/>
        <w:t>obligations, required massive resources for irrigation infrastructure development, restoration and maintenance of water resources.</w:t>
      </w:r>
    </w:p>
    <w:p w:rsidR="00933B79" w:rsidRPr="00486067" w:rsidRDefault="00933B79" w:rsidP="00D24412">
      <w:pPr>
        <w:spacing w:before="120" w:after="120" w:line="240" w:lineRule="auto"/>
        <w:jc w:val="both"/>
        <w:rPr>
          <w:rFonts w:ascii="Cambria" w:hAnsi="Cambria" w:cs="Arial"/>
          <w:sz w:val="24"/>
          <w:szCs w:val="24"/>
        </w:rPr>
      </w:pPr>
      <w:r w:rsidRPr="00486067">
        <w:rPr>
          <w:rFonts w:ascii="Cambria" w:hAnsi="Cambria" w:cs="Arial"/>
          <w:sz w:val="24"/>
          <w:szCs w:val="24"/>
        </w:rPr>
        <w:t>(Daniel Thaib, 2012, 89), In Study entitled evaluation northern coastal management policy in Bekasi District welfare communities that planning is done through integrated management of coastal areas and small island that integrated unified plan that is prepared by a variety of sectors and region resulting in harmony s</w:t>
      </w:r>
      <w:r w:rsidR="00EB474D" w:rsidRPr="00486067">
        <w:rPr>
          <w:rFonts w:ascii="Cambria" w:hAnsi="Cambria" w:cs="Arial"/>
          <w:sz w:val="24"/>
          <w:szCs w:val="24"/>
        </w:rPr>
        <w:t xml:space="preserve">trengthening mutual utilization, in addition to planning my research is seen as an effort in the decision making process also part of an effort to encourage a social change often involves intecration between organization, between institutions in order to generate consensus in managing activities. </w:t>
      </w:r>
    </w:p>
    <w:p w:rsidR="00373179" w:rsidRPr="00486067" w:rsidRDefault="001D7E06" w:rsidP="00D24412">
      <w:pPr>
        <w:spacing w:before="120" w:after="120" w:line="240" w:lineRule="auto"/>
        <w:jc w:val="both"/>
        <w:rPr>
          <w:rFonts w:ascii="Cambria" w:hAnsi="Cambria" w:cs="Arial"/>
          <w:sz w:val="24"/>
          <w:szCs w:val="24"/>
        </w:rPr>
      </w:pPr>
      <w:r w:rsidRPr="00486067">
        <w:rPr>
          <w:rFonts w:ascii="Cambria" w:hAnsi="Cambria" w:cs="Arial"/>
          <w:sz w:val="24"/>
          <w:szCs w:val="24"/>
        </w:rPr>
        <w:t>Water</w:t>
      </w:r>
      <w:r w:rsidR="00E55238" w:rsidRPr="00486067">
        <w:rPr>
          <w:rFonts w:ascii="Cambria" w:hAnsi="Cambria" w:cs="Arial"/>
          <w:sz w:val="24"/>
          <w:szCs w:val="24"/>
        </w:rPr>
        <w:t xml:space="preserve"> has a very large role in supporting a</w:t>
      </w:r>
      <w:r w:rsidR="0077743E" w:rsidRPr="00486067">
        <w:rPr>
          <w:rFonts w:ascii="Cambria" w:hAnsi="Cambria" w:cs="Arial"/>
          <w:sz w:val="24"/>
          <w:szCs w:val="24"/>
          <w:lang w:val="id-ID"/>
        </w:rPr>
        <w:t>g</w:t>
      </w:r>
      <w:r w:rsidR="00E55238" w:rsidRPr="00486067">
        <w:rPr>
          <w:rFonts w:ascii="Cambria" w:hAnsi="Cambria" w:cs="Arial"/>
          <w:sz w:val="24"/>
          <w:szCs w:val="24"/>
        </w:rPr>
        <w:t>ricultural activities, urban and rural water supply, industry, fisheries, aquaculture, tourism, power and household consumption.</w:t>
      </w:r>
      <w:r w:rsidR="00FA3521" w:rsidRPr="00486067">
        <w:rPr>
          <w:rFonts w:ascii="Cambria" w:hAnsi="Cambria" w:cs="Arial"/>
          <w:sz w:val="24"/>
          <w:szCs w:val="24"/>
        </w:rPr>
        <w:t xml:space="preserve"> To support activities in various fields, has built considerable infrastructure on a large scale, medium and small, so in order to maintain the infrastructure necessary to maintenance early. In order to implement an integrated development, thorough and continuous need to realize optimal utilization of water resources by improving the quality of public services, equitable and sustainable self reliance and self help community to achieve the realization of expected sustainability of water resources between sectors, between </w:t>
      </w:r>
      <w:r w:rsidR="00FA3521" w:rsidRPr="00486067">
        <w:rPr>
          <w:rFonts w:ascii="Cambria" w:hAnsi="Cambria" w:cs="Arial"/>
          <w:sz w:val="24"/>
          <w:szCs w:val="24"/>
        </w:rPr>
        <w:t>regions and the awareness of the public as well as the ability of water managers who are in the field.</w:t>
      </w:r>
    </w:p>
    <w:p w:rsidR="00C609E4" w:rsidRPr="00486067" w:rsidRDefault="001B624E" w:rsidP="00D24412">
      <w:pPr>
        <w:spacing w:before="120" w:after="120" w:line="240" w:lineRule="auto"/>
        <w:jc w:val="both"/>
        <w:rPr>
          <w:rFonts w:ascii="Cambria" w:hAnsi="Cambria" w:cs="Arial"/>
          <w:sz w:val="24"/>
          <w:szCs w:val="24"/>
        </w:rPr>
      </w:pPr>
      <w:r w:rsidRPr="00486067">
        <w:rPr>
          <w:rFonts w:ascii="Cambria" w:hAnsi="Cambria" w:cs="Arial"/>
          <w:sz w:val="24"/>
          <w:szCs w:val="24"/>
        </w:rPr>
        <w:t>I</w:t>
      </w:r>
      <w:r w:rsidR="00D93C1B" w:rsidRPr="00486067">
        <w:rPr>
          <w:rFonts w:ascii="Cambria" w:hAnsi="Cambria" w:cs="Arial"/>
          <w:sz w:val="24"/>
          <w:szCs w:val="24"/>
        </w:rPr>
        <w:t xml:space="preserve">ncreasing number of demand for water, </w:t>
      </w:r>
      <w:r w:rsidRPr="00486067">
        <w:rPr>
          <w:rFonts w:ascii="Cambria" w:hAnsi="Cambria" w:cs="Arial"/>
          <w:sz w:val="24"/>
          <w:szCs w:val="24"/>
        </w:rPr>
        <w:t xml:space="preserve"> </w:t>
      </w:r>
      <w:r w:rsidR="00D93C1B" w:rsidRPr="00486067">
        <w:rPr>
          <w:rFonts w:ascii="Cambria" w:hAnsi="Cambria" w:cs="Arial"/>
          <w:sz w:val="24"/>
          <w:szCs w:val="24"/>
        </w:rPr>
        <w:t xml:space="preserve">both </w:t>
      </w:r>
      <w:r w:rsidRPr="00486067">
        <w:rPr>
          <w:rFonts w:ascii="Cambria" w:hAnsi="Cambria" w:cs="Arial"/>
          <w:sz w:val="24"/>
          <w:szCs w:val="24"/>
        </w:rPr>
        <w:t xml:space="preserve">  </w:t>
      </w:r>
      <w:r w:rsidR="00D93C1B" w:rsidRPr="00486067">
        <w:rPr>
          <w:rFonts w:ascii="Cambria" w:hAnsi="Cambria" w:cs="Arial"/>
          <w:sz w:val="24"/>
          <w:szCs w:val="24"/>
        </w:rPr>
        <w:t xml:space="preserve">in </w:t>
      </w:r>
      <w:r w:rsidRPr="00486067">
        <w:rPr>
          <w:rFonts w:ascii="Cambria" w:hAnsi="Cambria" w:cs="Arial"/>
          <w:sz w:val="24"/>
          <w:szCs w:val="24"/>
        </w:rPr>
        <w:t xml:space="preserve">  </w:t>
      </w:r>
      <w:r w:rsidR="00D93C1B" w:rsidRPr="00486067">
        <w:rPr>
          <w:rFonts w:ascii="Cambria" w:hAnsi="Cambria" w:cs="Arial"/>
          <w:sz w:val="24"/>
          <w:szCs w:val="24"/>
        </w:rPr>
        <w:t xml:space="preserve">quality </w:t>
      </w:r>
      <w:r w:rsidRPr="00486067">
        <w:rPr>
          <w:rFonts w:ascii="Cambria" w:hAnsi="Cambria" w:cs="Arial"/>
          <w:sz w:val="24"/>
          <w:szCs w:val="24"/>
        </w:rPr>
        <w:t xml:space="preserve">  </w:t>
      </w:r>
      <w:r w:rsidR="00D93C1B" w:rsidRPr="00486067">
        <w:rPr>
          <w:rFonts w:ascii="Cambria" w:hAnsi="Cambria" w:cs="Arial"/>
          <w:sz w:val="24"/>
          <w:szCs w:val="24"/>
        </w:rPr>
        <w:t xml:space="preserve">and </w:t>
      </w:r>
      <w:r w:rsidRPr="00486067">
        <w:rPr>
          <w:rFonts w:ascii="Cambria" w:hAnsi="Cambria" w:cs="Arial"/>
          <w:sz w:val="24"/>
          <w:szCs w:val="24"/>
        </w:rPr>
        <w:t xml:space="preserve">  </w:t>
      </w:r>
      <w:r w:rsidR="00D93C1B" w:rsidRPr="00486067">
        <w:rPr>
          <w:rFonts w:ascii="Cambria" w:hAnsi="Cambria" w:cs="Arial"/>
          <w:sz w:val="24"/>
          <w:szCs w:val="24"/>
        </w:rPr>
        <w:t xml:space="preserve">quantity </w:t>
      </w:r>
      <w:r w:rsidRPr="00486067">
        <w:rPr>
          <w:rFonts w:ascii="Cambria" w:hAnsi="Cambria" w:cs="Arial"/>
          <w:sz w:val="24"/>
          <w:szCs w:val="24"/>
        </w:rPr>
        <w:t xml:space="preserve"> </w:t>
      </w:r>
      <w:r w:rsidR="00D93C1B" w:rsidRPr="00486067">
        <w:rPr>
          <w:rFonts w:ascii="Cambria" w:hAnsi="Cambria" w:cs="Arial"/>
          <w:sz w:val="24"/>
          <w:szCs w:val="24"/>
        </w:rPr>
        <w:t xml:space="preserve">is a </w:t>
      </w:r>
      <w:r w:rsidRPr="00486067">
        <w:rPr>
          <w:rFonts w:ascii="Cambria" w:hAnsi="Cambria" w:cs="Arial"/>
          <w:sz w:val="24"/>
          <w:szCs w:val="24"/>
        </w:rPr>
        <w:t>s</w:t>
      </w:r>
      <w:r w:rsidR="00D93C1B" w:rsidRPr="00486067">
        <w:rPr>
          <w:rFonts w:ascii="Cambria" w:hAnsi="Cambria" w:cs="Arial"/>
          <w:sz w:val="24"/>
          <w:szCs w:val="24"/>
        </w:rPr>
        <w:t>hared responsibility. this responsibility will be greater because it is associated with other areas that effect the sustainability of water resources among others: 1). reduction in water catchment areas of land as a result of the industry, 2) Declining water quality as a result of the disposal of various wastes into rivers or water sources, 3) Reduced carrying capacity of the environment to the preservation of the functions and benefits of water resources due to behavior of land use in upland</w:t>
      </w:r>
      <w:r w:rsidR="00C609E4" w:rsidRPr="00486067">
        <w:rPr>
          <w:rFonts w:ascii="Cambria" w:hAnsi="Cambria" w:cs="Arial"/>
          <w:sz w:val="24"/>
          <w:szCs w:val="24"/>
        </w:rPr>
        <w:t xml:space="preserve"> water less restrained, 4) disruption of the sustainability of water resources and conservation of threatened building function as a result of lack of controlled irrigation decision minerals for building.</w:t>
      </w:r>
    </w:p>
    <w:p w:rsidR="004A199A" w:rsidRPr="00486067" w:rsidRDefault="006F52D4" w:rsidP="00D24412">
      <w:pPr>
        <w:spacing w:before="120" w:after="120" w:line="240" w:lineRule="auto"/>
        <w:jc w:val="both"/>
        <w:rPr>
          <w:rFonts w:ascii="Cambria" w:hAnsi="Cambria" w:cs="Arial"/>
          <w:sz w:val="24"/>
          <w:szCs w:val="24"/>
        </w:rPr>
      </w:pPr>
      <w:r w:rsidRPr="00486067">
        <w:rPr>
          <w:rFonts w:ascii="Cambria" w:hAnsi="Cambria" w:cs="Arial"/>
          <w:sz w:val="24"/>
          <w:szCs w:val="24"/>
        </w:rPr>
        <w:t>B</w:t>
      </w:r>
      <w:r w:rsidR="00C609E4" w:rsidRPr="00486067">
        <w:rPr>
          <w:rFonts w:ascii="Cambria" w:hAnsi="Cambria" w:cs="Arial"/>
          <w:sz w:val="24"/>
          <w:szCs w:val="24"/>
        </w:rPr>
        <w:t>e the problems facing in Bekasi City as one of the cities that are acti</w:t>
      </w:r>
      <w:r w:rsidR="00AE0BBF" w:rsidRPr="00486067">
        <w:rPr>
          <w:rFonts w:ascii="Cambria" w:hAnsi="Cambria" w:cs="Arial"/>
          <w:sz w:val="24"/>
          <w:szCs w:val="24"/>
        </w:rPr>
        <w:t xml:space="preserve">vely build the Badan Pengelola Lingkungan Hidup Bekasi </w:t>
      </w:r>
      <w:r w:rsidR="001107D0" w:rsidRPr="00486067">
        <w:rPr>
          <w:rFonts w:ascii="Cambria" w:hAnsi="Cambria" w:cs="Arial"/>
          <w:sz w:val="24"/>
          <w:szCs w:val="24"/>
        </w:rPr>
        <w:t xml:space="preserve"> (BPLHD) </w:t>
      </w:r>
      <w:r w:rsidR="00AE0BBF" w:rsidRPr="00486067">
        <w:rPr>
          <w:rFonts w:ascii="Cambria" w:hAnsi="Cambria" w:cs="Arial"/>
          <w:sz w:val="24"/>
          <w:szCs w:val="24"/>
        </w:rPr>
        <w:t xml:space="preserve">showed damage to the quality and quantity of underground </w:t>
      </w:r>
      <w:r w:rsidR="004A199A" w:rsidRPr="00486067">
        <w:rPr>
          <w:rFonts w:ascii="Cambria" w:hAnsi="Cambria" w:cs="Arial"/>
          <w:sz w:val="24"/>
          <w:szCs w:val="24"/>
        </w:rPr>
        <w:t xml:space="preserve">water conditions in the three districts has even entered the critical zones, such as in the field and </w:t>
      </w:r>
      <w:r w:rsidR="00CD57E1" w:rsidRPr="00486067">
        <w:rPr>
          <w:rFonts w:ascii="Cambria" w:hAnsi="Cambria" w:cs="Arial"/>
          <w:sz w:val="24"/>
          <w:szCs w:val="24"/>
        </w:rPr>
        <w:t>Medan S</w:t>
      </w:r>
      <w:r w:rsidR="004A199A" w:rsidRPr="00486067">
        <w:rPr>
          <w:rFonts w:ascii="Cambria" w:hAnsi="Cambria" w:cs="Arial"/>
          <w:sz w:val="24"/>
          <w:szCs w:val="24"/>
        </w:rPr>
        <w:t>atria and Bekasi Utara. Region with the critical zones have experiend a reduction in the amount of underground water the conditions indicated by land subsidence Bekasi Utara condition worse, the underground water is not fit for consumption because it feels brackish.</w:t>
      </w:r>
    </w:p>
    <w:p w:rsidR="004A199A" w:rsidRPr="00486067" w:rsidRDefault="001107D0" w:rsidP="00D24412">
      <w:pPr>
        <w:spacing w:before="120" w:after="120" w:line="240" w:lineRule="auto"/>
        <w:jc w:val="both"/>
        <w:rPr>
          <w:rFonts w:ascii="Cambria" w:hAnsi="Cambria" w:cs="Arial"/>
          <w:sz w:val="24"/>
          <w:szCs w:val="24"/>
        </w:rPr>
      </w:pPr>
      <w:r w:rsidRPr="00486067">
        <w:rPr>
          <w:rFonts w:ascii="Cambria" w:hAnsi="Cambria" w:cs="Arial"/>
          <w:sz w:val="24"/>
          <w:szCs w:val="24"/>
        </w:rPr>
        <w:lastRenderedPageBreak/>
        <w:t>Bekasi C</w:t>
      </w:r>
      <w:r w:rsidR="004A199A" w:rsidRPr="00486067">
        <w:rPr>
          <w:rFonts w:ascii="Cambria" w:hAnsi="Cambria" w:cs="Arial"/>
          <w:sz w:val="24"/>
          <w:szCs w:val="24"/>
        </w:rPr>
        <w:t>ity as one of the center of trade and services due to the heavy population growth and increasing urbanization the increasing population led to the increasing public demand for clean water. Generally underground water  use in the Bekasi number of points can be identified from underground water extraction permit from the well created by companies for commercial purposes.</w:t>
      </w:r>
    </w:p>
    <w:p w:rsidR="001B624E" w:rsidRPr="00486067" w:rsidRDefault="004A199A" w:rsidP="00D24412">
      <w:pPr>
        <w:spacing w:before="120" w:after="120" w:line="240" w:lineRule="auto"/>
        <w:jc w:val="both"/>
        <w:rPr>
          <w:rFonts w:ascii="Cambria" w:hAnsi="Cambria" w:cs="Arial"/>
          <w:sz w:val="24"/>
          <w:szCs w:val="24"/>
        </w:rPr>
      </w:pPr>
      <w:r w:rsidRPr="00486067">
        <w:rPr>
          <w:rFonts w:ascii="Cambria" w:hAnsi="Cambria" w:cs="Arial"/>
          <w:sz w:val="24"/>
          <w:szCs w:val="24"/>
        </w:rPr>
        <w:t>In 2007 the number of companies</w:t>
      </w:r>
      <w:r w:rsidR="00FD5D35" w:rsidRPr="00486067">
        <w:rPr>
          <w:rFonts w:ascii="Cambria" w:hAnsi="Cambria" w:cs="Arial"/>
          <w:sz w:val="24"/>
          <w:szCs w:val="24"/>
        </w:rPr>
        <w:t xml:space="preserve"> the conduct underground water extraction as much as 120 firms with 256 wells and </w:t>
      </w:r>
      <w:r w:rsidR="001873F8" w:rsidRPr="00486067">
        <w:rPr>
          <w:rFonts w:ascii="Cambria" w:hAnsi="Cambria" w:cs="Arial"/>
          <w:sz w:val="24"/>
          <w:szCs w:val="24"/>
        </w:rPr>
        <w:t>the number of point water use as much as 13.271 m3/day. impact underground water quality degradation that is permanen is thought to occur around the settlement site directy adject to</w:t>
      </w:r>
      <w:r w:rsidR="00D93C1B" w:rsidRPr="00486067">
        <w:rPr>
          <w:rFonts w:ascii="Cambria" w:hAnsi="Cambria" w:cs="Arial"/>
          <w:sz w:val="24"/>
          <w:szCs w:val="24"/>
        </w:rPr>
        <w:t xml:space="preserve"> </w:t>
      </w:r>
      <w:r w:rsidR="001873F8" w:rsidRPr="00486067">
        <w:rPr>
          <w:rFonts w:ascii="Cambria" w:hAnsi="Cambria" w:cs="Arial"/>
          <w:sz w:val="24"/>
          <w:szCs w:val="24"/>
        </w:rPr>
        <w:t>the TPA/TPST. the permanent effect is accumulation and fluctuated, and the last for the disposal of waste in TPST activity decaying organic waste causes organic matter. Ni</w:t>
      </w:r>
      <w:r w:rsidR="00CD57E1" w:rsidRPr="00486067">
        <w:rPr>
          <w:rFonts w:ascii="Cambria" w:hAnsi="Cambria" w:cs="Arial"/>
          <w:sz w:val="24"/>
          <w:szCs w:val="24"/>
        </w:rPr>
        <w:t>trate (NO3), Nitrite (NO2) and A</w:t>
      </w:r>
      <w:r w:rsidR="001873F8" w:rsidRPr="00486067">
        <w:rPr>
          <w:rFonts w:ascii="Cambria" w:hAnsi="Cambria" w:cs="Arial"/>
          <w:sz w:val="24"/>
          <w:szCs w:val="24"/>
        </w:rPr>
        <w:t>mmonium (NH4) and litter decomposition results coli bacteria that accumulate in the leachate and soil into the stream so it is likely to impact on well water quality and the health of residents in the community to consume clean water.</w:t>
      </w:r>
    </w:p>
    <w:p w:rsidR="00BE58BF" w:rsidRPr="00486067" w:rsidRDefault="001107D0"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Bekasi most of the city is still using underground water as a source of clean water and dringking water, this is due to the limited supply of clean water are served by PDAM Bekasi, so that the underground water is great alternative to meet human needs in addition to river water and lakes. </w:t>
      </w:r>
    </w:p>
    <w:p w:rsidR="001107D0" w:rsidRPr="00486067" w:rsidRDefault="001107D0"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Based on a survey conducted by the Environmental Health Risk </w:t>
      </w:r>
      <w:r w:rsidR="004408A9" w:rsidRPr="00486067">
        <w:rPr>
          <w:rFonts w:ascii="Cambria" w:hAnsi="Cambria" w:cs="Arial"/>
          <w:sz w:val="24"/>
          <w:szCs w:val="24"/>
        </w:rPr>
        <w:t>A</w:t>
      </w:r>
      <w:r w:rsidRPr="00486067">
        <w:rPr>
          <w:rFonts w:ascii="Cambria" w:hAnsi="Cambria" w:cs="Arial"/>
          <w:sz w:val="24"/>
          <w:szCs w:val="24"/>
        </w:rPr>
        <w:t>sses</w:t>
      </w:r>
      <w:r w:rsidR="004408A9" w:rsidRPr="00486067">
        <w:rPr>
          <w:rFonts w:ascii="Cambria" w:hAnsi="Cambria" w:cs="Arial"/>
          <w:sz w:val="24"/>
          <w:szCs w:val="24"/>
        </w:rPr>
        <w:t>s</w:t>
      </w:r>
      <w:r w:rsidRPr="00486067">
        <w:rPr>
          <w:rFonts w:ascii="Cambria" w:hAnsi="Cambria" w:cs="Arial"/>
          <w:sz w:val="24"/>
          <w:szCs w:val="24"/>
        </w:rPr>
        <w:t>ment</w:t>
      </w:r>
      <w:r w:rsidR="004408A9" w:rsidRPr="00486067">
        <w:rPr>
          <w:rFonts w:ascii="Cambria" w:hAnsi="Cambria" w:cs="Arial"/>
          <w:sz w:val="24"/>
          <w:szCs w:val="24"/>
        </w:rPr>
        <w:t xml:space="preserve"> (EHRA) 2010, 2.240 homes in the city of Bekasi water wel</w:t>
      </w:r>
      <w:r w:rsidR="00CD57E1" w:rsidRPr="00486067">
        <w:rPr>
          <w:rFonts w:ascii="Cambria" w:hAnsi="Cambria" w:cs="Arial"/>
          <w:sz w:val="24"/>
          <w:szCs w:val="24"/>
        </w:rPr>
        <w:t>ls drilled by the</w:t>
      </w:r>
      <w:r w:rsidR="004408A9" w:rsidRPr="00486067">
        <w:rPr>
          <w:rFonts w:ascii="Cambria" w:hAnsi="Cambria" w:cs="Arial"/>
          <w:sz w:val="24"/>
          <w:szCs w:val="24"/>
        </w:rPr>
        <w:t xml:space="preserve"> 36 percents high population density will lead to the location of the wells adjacent septic tank population whose condition does not quality. </w:t>
      </w:r>
    </w:p>
    <w:p w:rsidR="004408A9" w:rsidRPr="00486067" w:rsidRDefault="004408A9"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Number of residents who use well water contaminated shallow, adverse impact on public health due to contamination and poor sanitation. </w:t>
      </w:r>
    </w:p>
    <w:p w:rsidR="004408A9" w:rsidRPr="00486067" w:rsidRDefault="004408A9" w:rsidP="00D24412">
      <w:pPr>
        <w:spacing w:before="120" w:after="120" w:line="240" w:lineRule="auto"/>
        <w:jc w:val="both"/>
        <w:rPr>
          <w:rFonts w:ascii="Cambria" w:hAnsi="Cambria" w:cs="Arial"/>
          <w:sz w:val="24"/>
          <w:szCs w:val="24"/>
        </w:rPr>
      </w:pPr>
      <w:r w:rsidRPr="00486067">
        <w:rPr>
          <w:rFonts w:ascii="Cambria" w:hAnsi="Cambria" w:cs="Arial"/>
          <w:sz w:val="24"/>
          <w:szCs w:val="24"/>
        </w:rPr>
        <w:t>Such condition is certainly not in line with Law of Health number 23 of 1992, paragraph 3 which states that the drinking water consumed by the public must comply with the requirements of quality and quantity, where the requirement is stated in the regulation of the minister of health (PERMENKES)</w:t>
      </w:r>
      <w:r w:rsidR="00CD57E1" w:rsidRPr="00486067">
        <w:rPr>
          <w:rFonts w:ascii="Cambria" w:hAnsi="Cambria" w:cs="Arial"/>
          <w:sz w:val="24"/>
          <w:szCs w:val="24"/>
        </w:rPr>
        <w:t xml:space="preserve"> </w:t>
      </w:r>
      <w:r w:rsidRPr="00486067">
        <w:rPr>
          <w:rFonts w:ascii="Cambria" w:hAnsi="Cambria" w:cs="Arial"/>
          <w:sz w:val="24"/>
          <w:szCs w:val="24"/>
        </w:rPr>
        <w:t xml:space="preserve"> number 416 of 1990 on the terms and monitoring water quality</w:t>
      </w:r>
      <w:r w:rsidR="00817EEC" w:rsidRPr="00486067">
        <w:rPr>
          <w:rFonts w:ascii="Cambria" w:hAnsi="Cambria" w:cs="Arial"/>
          <w:sz w:val="24"/>
          <w:szCs w:val="24"/>
        </w:rPr>
        <w:t xml:space="preserve">. </w:t>
      </w:r>
    </w:p>
    <w:p w:rsidR="001B624E" w:rsidRPr="00486067" w:rsidRDefault="00817EEC" w:rsidP="00D24412">
      <w:pPr>
        <w:spacing w:before="120" w:after="120" w:line="240" w:lineRule="auto"/>
        <w:jc w:val="both"/>
        <w:rPr>
          <w:rFonts w:ascii="Cambria" w:hAnsi="Cambria" w:cs="Arial"/>
          <w:b/>
          <w:sz w:val="24"/>
          <w:szCs w:val="24"/>
        </w:rPr>
      </w:pPr>
      <w:r w:rsidRPr="00486067">
        <w:rPr>
          <w:rFonts w:ascii="Cambria" w:hAnsi="Cambria" w:cs="Arial"/>
          <w:sz w:val="24"/>
          <w:szCs w:val="24"/>
        </w:rPr>
        <w:t>In 2010, underground water extraction in Bekasi has been 672 SIPA and published many 395 types of businesses which includes supporting utilization, mck, clean water, trade and services, production  support and operations, swimming pools, garages, hospitals and so on (Harian Kompas: 2010, h.6).</w:t>
      </w:r>
    </w:p>
    <w:p w:rsidR="0049144F" w:rsidRPr="00486067" w:rsidRDefault="0049144F"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Based on the problems mentioned above, the purpose of the study was to evaluated the implementation of regulation polices Bekasi City area number 10 of 2002 concerning the management of underground water to meet the water needs of the community Bekasi City that is expected to optimize the task of implementation </w:t>
      </w:r>
      <w:r w:rsidRPr="00486067">
        <w:rPr>
          <w:rFonts w:ascii="Cambria" w:hAnsi="Cambria" w:cs="Arial"/>
          <w:sz w:val="24"/>
          <w:szCs w:val="24"/>
        </w:rPr>
        <w:lastRenderedPageBreak/>
        <w:t>agencies and community participation in managing and using resources water, resources according to their needs as well as maintain, conserve water resources in a sustainable and environmentally sound.</w:t>
      </w:r>
    </w:p>
    <w:p w:rsidR="008E21E6" w:rsidRPr="00486067" w:rsidRDefault="0049144F"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The results of this study are expected to obtain usefull indicators </w:t>
      </w:r>
      <w:r w:rsidR="00ED417C" w:rsidRPr="00486067">
        <w:rPr>
          <w:rFonts w:ascii="Cambria" w:hAnsi="Cambria" w:cs="Arial"/>
          <w:sz w:val="24"/>
          <w:szCs w:val="24"/>
        </w:rPr>
        <w:t xml:space="preserve">and recommendation for revisions or policy making in the future </w:t>
      </w:r>
      <w:r w:rsidR="008E21E6" w:rsidRPr="00486067">
        <w:rPr>
          <w:rFonts w:ascii="Cambria" w:hAnsi="Cambria" w:cs="Arial"/>
          <w:sz w:val="24"/>
          <w:szCs w:val="24"/>
        </w:rPr>
        <w:t>so as to overcome the problems of managements and utilization of underground water.</w:t>
      </w:r>
    </w:p>
    <w:p w:rsidR="005A00C0" w:rsidRPr="00486067" w:rsidRDefault="005A00C0" w:rsidP="00D24412">
      <w:pPr>
        <w:spacing w:before="240" w:after="120" w:line="240" w:lineRule="auto"/>
        <w:jc w:val="both"/>
        <w:rPr>
          <w:rFonts w:ascii="Cambria" w:hAnsi="Cambria" w:cs="Arial"/>
          <w:b/>
          <w:sz w:val="24"/>
          <w:szCs w:val="24"/>
        </w:rPr>
      </w:pPr>
    </w:p>
    <w:p w:rsidR="001B624E" w:rsidRPr="00486067" w:rsidRDefault="008E21E6" w:rsidP="00D24412">
      <w:pPr>
        <w:spacing w:before="240" w:after="120" w:line="240" w:lineRule="auto"/>
        <w:jc w:val="both"/>
        <w:rPr>
          <w:rFonts w:ascii="Cambria" w:hAnsi="Cambria" w:cs="Arial"/>
          <w:b/>
          <w:sz w:val="24"/>
          <w:szCs w:val="24"/>
        </w:rPr>
      </w:pPr>
      <w:r w:rsidRPr="00486067">
        <w:rPr>
          <w:rFonts w:ascii="Cambria" w:hAnsi="Cambria" w:cs="Arial"/>
          <w:b/>
          <w:sz w:val="24"/>
          <w:szCs w:val="24"/>
        </w:rPr>
        <w:t>METHODOLOGY</w:t>
      </w:r>
      <w:r w:rsidR="0049144F" w:rsidRPr="00486067">
        <w:rPr>
          <w:rFonts w:ascii="Cambria" w:hAnsi="Cambria" w:cs="Arial"/>
          <w:b/>
          <w:sz w:val="24"/>
          <w:szCs w:val="24"/>
        </w:rPr>
        <w:t xml:space="preserve"> </w:t>
      </w:r>
    </w:p>
    <w:p w:rsidR="001B624E" w:rsidRPr="00486067" w:rsidRDefault="008E21E6" w:rsidP="00D24412">
      <w:pPr>
        <w:spacing w:before="120" w:after="120" w:line="240" w:lineRule="auto"/>
        <w:jc w:val="both"/>
        <w:rPr>
          <w:rFonts w:ascii="Cambria" w:hAnsi="Cambria" w:cs="Arial"/>
          <w:b/>
          <w:sz w:val="24"/>
          <w:szCs w:val="24"/>
        </w:rPr>
      </w:pPr>
      <w:r w:rsidRPr="00486067">
        <w:rPr>
          <w:rFonts w:ascii="Cambria" w:hAnsi="Cambria" w:cs="Arial"/>
          <w:b/>
          <w:sz w:val="24"/>
          <w:szCs w:val="24"/>
        </w:rPr>
        <w:t>Place and Time of the Study</w:t>
      </w:r>
    </w:p>
    <w:p w:rsidR="007708C4" w:rsidRPr="00486067" w:rsidRDefault="008E21E6" w:rsidP="00D24412">
      <w:pPr>
        <w:spacing w:before="120" w:after="120" w:line="240" w:lineRule="auto"/>
        <w:jc w:val="both"/>
        <w:rPr>
          <w:rFonts w:ascii="Cambria" w:hAnsi="Cambria" w:cs="Arial"/>
          <w:sz w:val="24"/>
          <w:szCs w:val="24"/>
          <w:lang w:val="id-ID"/>
        </w:rPr>
      </w:pPr>
      <w:r w:rsidRPr="00486067">
        <w:rPr>
          <w:rFonts w:ascii="Cambria" w:hAnsi="Cambria" w:cs="Arial"/>
          <w:sz w:val="24"/>
          <w:szCs w:val="24"/>
        </w:rPr>
        <w:t>Research conducted in the City of Bekasi government, in term of local environmental management agency Bekasi and company/business users of underground water. The time reguired for the conduct of research for three mounths is September 2011 to December 2011 beginning with the field survey in order to find a detailed factual information through interviews with informants.</w:t>
      </w:r>
    </w:p>
    <w:p w:rsidR="00A16741" w:rsidRPr="00486067" w:rsidRDefault="00A16741" w:rsidP="00D24412">
      <w:pPr>
        <w:spacing w:after="120" w:line="240" w:lineRule="auto"/>
        <w:jc w:val="center"/>
        <w:rPr>
          <w:rFonts w:ascii="Cambria" w:hAnsi="Cambria" w:cs="Arial"/>
          <w:sz w:val="24"/>
          <w:szCs w:val="24"/>
        </w:rPr>
      </w:pPr>
    </w:p>
    <w:p w:rsidR="008D28E0" w:rsidRPr="00486067" w:rsidRDefault="008D28E0" w:rsidP="00D24412">
      <w:pPr>
        <w:spacing w:after="120" w:line="240" w:lineRule="auto"/>
        <w:jc w:val="center"/>
        <w:rPr>
          <w:rFonts w:ascii="Cambria" w:hAnsi="Cambria" w:cs="Arial"/>
          <w:sz w:val="24"/>
          <w:szCs w:val="24"/>
        </w:rPr>
      </w:pPr>
    </w:p>
    <w:p w:rsidR="008D28E0" w:rsidRPr="00486067" w:rsidRDefault="008D28E0" w:rsidP="00D24412">
      <w:pPr>
        <w:spacing w:after="120" w:line="240" w:lineRule="auto"/>
        <w:jc w:val="center"/>
        <w:rPr>
          <w:rFonts w:ascii="Cambria" w:hAnsi="Cambria" w:cs="Arial"/>
          <w:sz w:val="24"/>
          <w:szCs w:val="24"/>
        </w:rPr>
      </w:pPr>
    </w:p>
    <w:p w:rsidR="008D28E0" w:rsidRPr="00486067" w:rsidRDefault="008D28E0" w:rsidP="00D24412">
      <w:pPr>
        <w:spacing w:after="120" w:line="240" w:lineRule="auto"/>
        <w:jc w:val="center"/>
        <w:rPr>
          <w:rFonts w:ascii="Cambria" w:hAnsi="Cambria" w:cs="Arial"/>
          <w:sz w:val="24"/>
          <w:szCs w:val="24"/>
        </w:rPr>
      </w:pPr>
    </w:p>
    <w:p w:rsidR="008D28E0" w:rsidRPr="00486067" w:rsidRDefault="008D28E0" w:rsidP="00D24412">
      <w:pPr>
        <w:spacing w:after="120" w:line="240" w:lineRule="auto"/>
        <w:jc w:val="center"/>
        <w:rPr>
          <w:rFonts w:ascii="Cambria" w:hAnsi="Cambria" w:cs="Arial"/>
          <w:sz w:val="24"/>
          <w:szCs w:val="24"/>
        </w:rPr>
        <w:sectPr w:rsidR="008D28E0" w:rsidRPr="00486067" w:rsidSect="0077743E">
          <w:type w:val="continuous"/>
          <w:pgSz w:w="12240" w:h="15840"/>
          <w:pgMar w:top="1872" w:right="1728" w:bottom="1728" w:left="1872" w:header="720" w:footer="546" w:gutter="0"/>
          <w:cols w:num="2" w:space="720"/>
          <w:docGrid w:linePitch="360"/>
        </w:sectPr>
      </w:pPr>
    </w:p>
    <w:tbl>
      <w:tblPr>
        <w:tblStyle w:val="TableGrid"/>
        <w:tblW w:w="5082" w:type="dxa"/>
        <w:jc w:val="center"/>
        <w:tblLook w:val="04A0" w:firstRow="1" w:lastRow="0" w:firstColumn="1" w:lastColumn="0" w:noHBand="0" w:noVBand="1"/>
      </w:tblPr>
      <w:tblGrid>
        <w:gridCol w:w="756"/>
        <w:gridCol w:w="2221"/>
        <w:gridCol w:w="2105"/>
      </w:tblGrid>
      <w:tr w:rsidR="00A16741" w:rsidRPr="00486067" w:rsidTr="0092016F">
        <w:trPr>
          <w:jc w:val="center"/>
        </w:trPr>
        <w:tc>
          <w:tcPr>
            <w:tcW w:w="5082" w:type="dxa"/>
            <w:gridSpan w:val="3"/>
            <w:tcBorders>
              <w:top w:val="nil"/>
              <w:left w:val="nil"/>
              <w:bottom w:val="single" w:sz="12" w:space="0" w:color="E36C0A" w:themeColor="accent6" w:themeShade="BF"/>
              <w:right w:val="nil"/>
            </w:tcBorders>
            <w:shd w:val="clear" w:color="auto" w:fill="auto"/>
            <w:vAlign w:val="center"/>
          </w:tcPr>
          <w:p w:rsidR="00A16741" w:rsidRPr="00486067" w:rsidRDefault="00A16741" w:rsidP="00D24412">
            <w:pPr>
              <w:spacing w:after="120"/>
              <w:jc w:val="center"/>
              <w:rPr>
                <w:rFonts w:ascii="Cambria" w:hAnsi="Cambria" w:cs="Arial"/>
                <w:sz w:val="24"/>
                <w:szCs w:val="24"/>
              </w:rPr>
            </w:pPr>
            <w:r w:rsidRPr="00486067">
              <w:rPr>
                <w:rFonts w:ascii="Cambria" w:hAnsi="Cambria" w:cs="Arial"/>
                <w:sz w:val="24"/>
                <w:szCs w:val="24"/>
              </w:rPr>
              <w:t>Table 1.  Numbers of Firms in the Study Area</w:t>
            </w:r>
          </w:p>
        </w:tc>
      </w:tr>
      <w:tr w:rsidR="00A16741" w:rsidRPr="00486067" w:rsidTr="0092016F">
        <w:trPr>
          <w:jc w:val="center"/>
        </w:trPr>
        <w:tc>
          <w:tcPr>
            <w:tcW w:w="756" w:type="dxa"/>
            <w:tcBorders>
              <w:left w:val="single" w:sz="12" w:space="0" w:color="E36C0A" w:themeColor="accent6" w:themeShade="BF"/>
              <w:bottom w:val="single" w:sz="12" w:space="0" w:color="E36C0A" w:themeColor="accent6" w:themeShade="BF"/>
              <w:right w:val="single" w:sz="12" w:space="0" w:color="E36C0A" w:themeColor="accent6" w:themeShade="BF"/>
            </w:tcBorders>
            <w:shd w:val="clear" w:color="auto" w:fill="CCC0D9" w:themeFill="accent4" w:themeFillTint="66"/>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No</w:t>
            </w:r>
          </w:p>
        </w:tc>
        <w:tc>
          <w:tcPr>
            <w:tcW w:w="2221" w:type="dxa"/>
            <w:tcBorders>
              <w:left w:val="single" w:sz="12" w:space="0" w:color="E36C0A" w:themeColor="accent6" w:themeShade="BF"/>
              <w:bottom w:val="single" w:sz="12" w:space="0" w:color="E36C0A" w:themeColor="accent6" w:themeShade="BF"/>
              <w:right w:val="single" w:sz="12" w:space="0" w:color="E36C0A" w:themeColor="accent6" w:themeShade="BF"/>
            </w:tcBorders>
            <w:shd w:val="clear" w:color="auto" w:fill="CCC0D9" w:themeFill="accent4" w:themeFillTint="66"/>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Study Area</w:t>
            </w:r>
          </w:p>
        </w:tc>
        <w:tc>
          <w:tcPr>
            <w:tcW w:w="2105" w:type="dxa"/>
            <w:tcBorders>
              <w:left w:val="single" w:sz="12" w:space="0" w:color="E36C0A" w:themeColor="accent6" w:themeShade="BF"/>
              <w:bottom w:val="single" w:sz="12" w:space="0" w:color="E36C0A" w:themeColor="accent6" w:themeShade="BF"/>
              <w:right w:val="single" w:sz="12" w:space="0" w:color="E36C0A" w:themeColor="accent6" w:themeShade="BF"/>
            </w:tcBorders>
            <w:shd w:val="clear" w:color="auto" w:fill="CCC0D9" w:themeFill="accent4" w:themeFillTint="66"/>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Numbers of Firms</w:t>
            </w:r>
          </w:p>
        </w:tc>
      </w:tr>
      <w:tr w:rsidR="00A16741" w:rsidRPr="00486067" w:rsidTr="0092016F">
        <w:trPr>
          <w:jc w:val="center"/>
        </w:trPr>
        <w:tc>
          <w:tcPr>
            <w:tcW w:w="756"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c>
          <w:tcPr>
            <w:tcW w:w="2221"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Bekasi  Barat</w:t>
            </w:r>
          </w:p>
        </w:tc>
        <w:tc>
          <w:tcPr>
            <w:tcW w:w="2105"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2</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Bekasi Timur</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3</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Bekasi Selatan</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4</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Pondok Gede</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5</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Medan Satria</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6</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Jati Sampurna</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7</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Jati Asih</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8</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Bantar Gebang</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9</w:t>
            </w:r>
          </w:p>
        </w:tc>
        <w:tc>
          <w:tcPr>
            <w:tcW w:w="2221"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Rawa Lumbu</w:t>
            </w:r>
          </w:p>
        </w:tc>
        <w:tc>
          <w:tcPr>
            <w:tcW w:w="2105" w:type="dxa"/>
            <w:tcBorders>
              <w:left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756"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10</w:t>
            </w:r>
          </w:p>
        </w:tc>
        <w:tc>
          <w:tcPr>
            <w:tcW w:w="2221"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144"/>
              <w:contextualSpacing w:val="0"/>
              <w:rPr>
                <w:rFonts w:ascii="Cambria" w:hAnsi="Cambria" w:cs="Arial"/>
                <w:sz w:val="24"/>
                <w:szCs w:val="24"/>
                <w:lang w:val="en-US"/>
              </w:rPr>
            </w:pPr>
            <w:r w:rsidRPr="00486067">
              <w:rPr>
                <w:rFonts w:ascii="Cambria" w:hAnsi="Cambria" w:cs="Arial"/>
                <w:sz w:val="24"/>
                <w:szCs w:val="24"/>
                <w:lang w:val="en-US"/>
              </w:rPr>
              <w:t>Bekasi Utara</w:t>
            </w:r>
          </w:p>
        </w:tc>
        <w:tc>
          <w:tcPr>
            <w:tcW w:w="2105"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w:t>
            </w:r>
          </w:p>
        </w:tc>
      </w:tr>
      <w:tr w:rsidR="00A16741" w:rsidRPr="00486067" w:rsidTr="0092016F">
        <w:trPr>
          <w:jc w:val="center"/>
        </w:trPr>
        <w:tc>
          <w:tcPr>
            <w:tcW w:w="2977"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Total</w:t>
            </w:r>
          </w:p>
        </w:tc>
        <w:tc>
          <w:tcPr>
            <w:tcW w:w="2105"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A16741" w:rsidRPr="00486067" w:rsidRDefault="00A16741" w:rsidP="00D24412">
            <w:pPr>
              <w:pStyle w:val="ListParagraph"/>
              <w:ind w:left="0"/>
              <w:contextualSpacing w:val="0"/>
              <w:jc w:val="center"/>
              <w:rPr>
                <w:rFonts w:ascii="Cambria" w:hAnsi="Cambria" w:cs="Arial"/>
                <w:sz w:val="24"/>
                <w:szCs w:val="24"/>
                <w:lang w:val="en-US"/>
              </w:rPr>
            </w:pPr>
            <w:r w:rsidRPr="00486067">
              <w:rPr>
                <w:rFonts w:ascii="Cambria" w:hAnsi="Cambria" w:cs="Arial"/>
                <w:sz w:val="24"/>
                <w:szCs w:val="24"/>
                <w:lang w:val="en-US"/>
              </w:rPr>
              <w:t>10</w:t>
            </w:r>
          </w:p>
        </w:tc>
      </w:tr>
      <w:tr w:rsidR="00A16741" w:rsidRPr="00486067" w:rsidTr="0092016F">
        <w:trPr>
          <w:trHeight w:val="446"/>
          <w:jc w:val="center"/>
        </w:trPr>
        <w:tc>
          <w:tcPr>
            <w:tcW w:w="5082" w:type="dxa"/>
            <w:gridSpan w:val="3"/>
            <w:tcBorders>
              <w:top w:val="single" w:sz="12" w:space="0" w:color="E36C0A" w:themeColor="accent6" w:themeShade="BF"/>
              <w:left w:val="nil"/>
              <w:bottom w:val="nil"/>
              <w:right w:val="nil"/>
            </w:tcBorders>
            <w:vAlign w:val="center"/>
          </w:tcPr>
          <w:p w:rsidR="00A16741" w:rsidRPr="00486067" w:rsidRDefault="00A16741" w:rsidP="00D24412">
            <w:pPr>
              <w:jc w:val="both"/>
              <w:rPr>
                <w:rFonts w:ascii="Cambria" w:hAnsi="Cambria" w:cs="Arial"/>
                <w:i/>
                <w:sz w:val="24"/>
                <w:szCs w:val="24"/>
              </w:rPr>
            </w:pPr>
            <w:r w:rsidRPr="00486067">
              <w:rPr>
                <w:rFonts w:ascii="Cambria" w:hAnsi="Cambria" w:cs="Arial"/>
                <w:i/>
                <w:sz w:val="24"/>
                <w:szCs w:val="24"/>
              </w:rPr>
              <w:t xml:space="preserve">          Source : Processing Results,  (2012)</w:t>
            </w:r>
          </w:p>
          <w:p w:rsidR="00A16741" w:rsidRPr="00486067" w:rsidRDefault="00A16741" w:rsidP="00D24412">
            <w:pPr>
              <w:jc w:val="both"/>
              <w:rPr>
                <w:rFonts w:ascii="Cambria" w:hAnsi="Cambria" w:cs="Arial"/>
                <w:i/>
                <w:sz w:val="24"/>
                <w:szCs w:val="24"/>
              </w:rPr>
            </w:pPr>
          </w:p>
        </w:tc>
      </w:tr>
    </w:tbl>
    <w:p w:rsidR="00A16741" w:rsidRPr="00486067" w:rsidRDefault="00A16741" w:rsidP="00D24412">
      <w:pPr>
        <w:spacing w:before="120" w:after="120" w:line="240" w:lineRule="auto"/>
        <w:jc w:val="both"/>
        <w:rPr>
          <w:rFonts w:ascii="Cambria" w:hAnsi="Cambria" w:cs="Arial"/>
          <w:sz w:val="24"/>
          <w:szCs w:val="24"/>
          <w:lang w:val="id-ID"/>
        </w:rPr>
        <w:sectPr w:rsidR="00A16741" w:rsidRPr="00486067" w:rsidSect="00A16741">
          <w:type w:val="continuous"/>
          <w:pgSz w:w="12240" w:h="15840"/>
          <w:pgMar w:top="1872" w:right="1728" w:bottom="1728" w:left="1872" w:header="720" w:footer="546" w:gutter="0"/>
          <w:cols w:space="720"/>
          <w:docGrid w:linePitch="360"/>
        </w:sectPr>
      </w:pPr>
    </w:p>
    <w:p w:rsidR="0077743E" w:rsidRPr="00486067" w:rsidRDefault="0077743E" w:rsidP="00D24412">
      <w:pPr>
        <w:spacing w:before="120" w:after="120" w:line="240" w:lineRule="auto"/>
        <w:jc w:val="both"/>
        <w:rPr>
          <w:rFonts w:ascii="Cambria" w:hAnsi="Cambria" w:cs="Arial"/>
          <w:sz w:val="24"/>
          <w:szCs w:val="24"/>
          <w:lang w:val="id-ID"/>
        </w:rPr>
      </w:pPr>
      <w:r w:rsidRPr="00486067">
        <w:rPr>
          <w:rFonts w:ascii="Cambria" w:hAnsi="Cambria" w:cs="Arial"/>
          <w:b/>
          <w:sz w:val="24"/>
          <w:szCs w:val="24"/>
        </w:rPr>
        <w:t>Approach, Methods and Research</w:t>
      </w:r>
      <w:r w:rsidR="008E3D2A" w:rsidRPr="00486067">
        <w:rPr>
          <w:rFonts w:ascii="Cambria" w:hAnsi="Cambria" w:cs="Arial"/>
          <w:b/>
          <w:sz w:val="24"/>
          <w:szCs w:val="24"/>
        </w:rPr>
        <w:t xml:space="preserve">   Design</w:t>
      </w:r>
      <w:r w:rsidR="008E3D2A" w:rsidRPr="00486067">
        <w:rPr>
          <w:rFonts w:ascii="Cambria" w:hAnsi="Cambria" w:cs="Arial"/>
          <w:sz w:val="24"/>
          <w:szCs w:val="24"/>
        </w:rPr>
        <w:t>.</w:t>
      </w:r>
    </w:p>
    <w:p w:rsidR="008E3D2A" w:rsidRPr="00486067" w:rsidRDefault="008E3D2A"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To obtain valid information, accurate and reliable research is to evaluated the implementation of the policy of </w:t>
      </w:r>
      <w:r w:rsidRPr="00486067">
        <w:rPr>
          <w:rFonts w:ascii="Cambria" w:hAnsi="Cambria" w:cs="Arial"/>
          <w:sz w:val="24"/>
          <w:szCs w:val="24"/>
        </w:rPr>
        <w:t>local regulation number 10 of 2002 from direct observation feedback and policy processes.</w:t>
      </w:r>
    </w:p>
    <w:p w:rsidR="00613665" w:rsidRPr="00486067" w:rsidRDefault="008E3D2A"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However the difference is that a formal evaluation using the laws, regulations, </w:t>
      </w:r>
      <w:r w:rsidRPr="00486067">
        <w:rPr>
          <w:rFonts w:ascii="Cambria" w:hAnsi="Cambria" w:cs="Arial"/>
          <w:sz w:val="24"/>
          <w:szCs w:val="24"/>
        </w:rPr>
        <w:lastRenderedPageBreak/>
        <w:t>program documents, interviews with informants this case is within the city of Bekasi government stakeholders who carry out the ptogram by identifying, definity as specifying objectives and policy targets.</w:t>
      </w:r>
    </w:p>
    <w:p w:rsidR="002B6D2D" w:rsidRPr="00486067" w:rsidRDefault="002B6D2D" w:rsidP="00D24412">
      <w:pPr>
        <w:spacing w:before="120" w:after="120" w:line="240" w:lineRule="auto"/>
        <w:jc w:val="both"/>
        <w:rPr>
          <w:rFonts w:ascii="Cambria" w:hAnsi="Cambria" w:cs="Arial"/>
          <w:sz w:val="24"/>
          <w:szCs w:val="24"/>
        </w:rPr>
      </w:pPr>
      <w:r w:rsidRPr="00486067">
        <w:rPr>
          <w:rFonts w:ascii="Cambria" w:hAnsi="Cambria" w:cs="Arial"/>
          <w:sz w:val="24"/>
          <w:szCs w:val="24"/>
        </w:rPr>
        <w:t>Several methods can be used to collect data and information for policy evaluation as follows :</w:t>
      </w:r>
    </w:p>
    <w:p w:rsidR="002B6D2D" w:rsidRPr="00486067" w:rsidRDefault="002B6D2D" w:rsidP="00D24412">
      <w:pPr>
        <w:pStyle w:val="ListParagraph"/>
        <w:numPr>
          <w:ilvl w:val="0"/>
          <w:numId w:val="5"/>
        </w:numPr>
        <w:spacing w:before="120" w:after="120" w:line="240" w:lineRule="auto"/>
        <w:ind w:left="360"/>
        <w:jc w:val="both"/>
        <w:rPr>
          <w:rFonts w:ascii="Cambria" w:hAnsi="Cambria" w:cs="Arial"/>
          <w:sz w:val="24"/>
          <w:szCs w:val="24"/>
        </w:rPr>
      </w:pPr>
      <w:r w:rsidRPr="00486067">
        <w:rPr>
          <w:rFonts w:ascii="Cambria" w:hAnsi="Cambria" w:cs="Arial"/>
          <w:sz w:val="24"/>
          <w:szCs w:val="24"/>
        </w:rPr>
        <w:t xml:space="preserve">Documentation. Documentation is the principal </w:t>
      </w:r>
      <w:r w:rsidR="001A35DB" w:rsidRPr="00486067">
        <w:rPr>
          <w:rFonts w:ascii="Cambria" w:hAnsi="Cambria" w:cs="Arial"/>
          <w:sz w:val="24"/>
          <w:szCs w:val="24"/>
        </w:rPr>
        <w:t>remedy procedure to collect data and information on policies, ranging from formulation stage through monitoring. Documentation should be done periodically, either short, medium or long. This method constitute the most staple is getting the data and information which can trusted to perform assessment top of policy outcomes.</w:t>
      </w:r>
    </w:p>
    <w:p w:rsidR="000373AE" w:rsidRPr="00486067" w:rsidRDefault="009F2D34" w:rsidP="00D24412">
      <w:pPr>
        <w:pStyle w:val="ListParagraph"/>
        <w:numPr>
          <w:ilvl w:val="0"/>
          <w:numId w:val="5"/>
        </w:numPr>
        <w:spacing w:before="120" w:after="120" w:line="240" w:lineRule="auto"/>
        <w:ind w:left="360"/>
        <w:jc w:val="both"/>
        <w:rPr>
          <w:rFonts w:ascii="Cambria" w:hAnsi="Cambria" w:cs="Arial"/>
          <w:sz w:val="24"/>
          <w:szCs w:val="24"/>
        </w:rPr>
      </w:pPr>
      <w:r w:rsidRPr="00486067">
        <w:rPr>
          <w:rFonts w:ascii="Cambria" w:hAnsi="Cambria" w:cs="Arial"/>
          <w:sz w:val="24"/>
          <w:szCs w:val="24"/>
        </w:rPr>
        <w:t>Survey. Data and policy information can also gashered by conducting a survey, for example, the target group to those policies or programs directed.</w:t>
      </w:r>
    </w:p>
    <w:p w:rsidR="009F2D34" w:rsidRPr="00486067" w:rsidRDefault="009F2D34" w:rsidP="00D24412">
      <w:pPr>
        <w:pStyle w:val="ListParagraph"/>
        <w:numPr>
          <w:ilvl w:val="0"/>
          <w:numId w:val="5"/>
        </w:numPr>
        <w:spacing w:line="240" w:lineRule="auto"/>
        <w:ind w:left="360"/>
        <w:jc w:val="both"/>
        <w:rPr>
          <w:rFonts w:ascii="Cambria" w:hAnsi="Cambria" w:cs="Arial"/>
          <w:sz w:val="24"/>
          <w:szCs w:val="24"/>
        </w:rPr>
      </w:pPr>
      <w:r w:rsidRPr="00486067">
        <w:rPr>
          <w:rFonts w:ascii="Cambria" w:hAnsi="Cambria" w:cs="Arial"/>
          <w:sz w:val="24"/>
          <w:szCs w:val="24"/>
        </w:rPr>
        <w:t>Interview. This method can collect the data and information more freely and deeply about policy, especially for information that is limited or the number is not too large.</w:t>
      </w:r>
    </w:p>
    <w:p w:rsidR="009F2D34" w:rsidRPr="00486067" w:rsidRDefault="009F2D34" w:rsidP="00D24412">
      <w:pPr>
        <w:pStyle w:val="ListParagraph"/>
        <w:numPr>
          <w:ilvl w:val="0"/>
          <w:numId w:val="5"/>
        </w:numPr>
        <w:spacing w:line="240" w:lineRule="auto"/>
        <w:ind w:left="360"/>
        <w:jc w:val="both"/>
        <w:rPr>
          <w:rFonts w:ascii="Cambria" w:hAnsi="Cambria" w:cs="Arial"/>
          <w:sz w:val="24"/>
          <w:szCs w:val="24"/>
        </w:rPr>
      </w:pPr>
      <w:r w:rsidRPr="00486067">
        <w:rPr>
          <w:rFonts w:ascii="Cambria" w:hAnsi="Cambria" w:cs="Arial"/>
          <w:sz w:val="24"/>
          <w:szCs w:val="24"/>
        </w:rPr>
        <w:t>Observation. Direct observation is a method that can support the assessment of policy outcomes this method can provide data and additional information.</w:t>
      </w:r>
    </w:p>
    <w:p w:rsidR="00BB1FCE" w:rsidRPr="00486067" w:rsidRDefault="009F2D34" w:rsidP="00D24412">
      <w:pPr>
        <w:pStyle w:val="ListParagraph"/>
        <w:numPr>
          <w:ilvl w:val="0"/>
          <w:numId w:val="5"/>
        </w:numPr>
        <w:spacing w:line="240" w:lineRule="auto"/>
        <w:ind w:left="360"/>
        <w:jc w:val="both"/>
        <w:rPr>
          <w:rFonts w:ascii="Cambria" w:hAnsi="Cambria" w:cs="Arial"/>
          <w:sz w:val="24"/>
          <w:szCs w:val="24"/>
        </w:rPr>
      </w:pPr>
      <w:r w:rsidRPr="00486067">
        <w:rPr>
          <w:rFonts w:ascii="Cambria" w:hAnsi="Cambria" w:cs="Arial"/>
          <w:sz w:val="24"/>
          <w:szCs w:val="24"/>
        </w:rPr>
        <w:t xml:space="preserve">FGD (Focus Group Discussion). The latter method is mostly done by various groups to explore the data information from diverse stakeholders, to obtain information </w:t>
      </w:r>
      <w:r w:rsidRPr="00486067">
        <w:rPr>
          <w:rFonts w:ascii="Cambria" w:hAnsi="Cambria" w:cs="Arial"/>
          <w:sz w:val="24"/>
          <w:szCs w:val="24"/>
        </w:rPr>
        <w:t>and viewpoints is order to conduct a relatively complete assessment of a program or public policy.</w:t>
      </w:r>
    </w:p>
    <w:p w:rsidR="009F2D34" w:rsidRPr="00486067" w:rsidRDefault="00285D6A" w:rsidP="00D24412">
      <w:pPr>
        <w:spacing w:before="240" w:after="120" w:line="240" w:lineRule="auto"/>
        <w:jc w:val="both"/>
        <w:rPr>
          <w:rFonts w:ascii="Cambria" w:hAnsi="Cambria" w:cs="Arial"/>
          <w:b/>
          <w:sz w:val="24"/>
          <w:szCs w:val="24"/>
        </w:rPr>
      </w:pPr>
      <w:r w:rsidRPr="00486067">
        <w:rPr>
          <w:rFonts w:ascii="Cambria" w:hAnsi="Cambria" w:cs="Arial"/>
          <w:b/>
          <w:sz w:val="24"/>
          <w:szCs w:val="24"/>
        </w:rPr>
        <w:t>Data Analysis Techniques</w:t>
      </w:r>
    </w:p>
    <w:p w:rsidR="00442FF4" w:rsidRPr="00486067" w:rsidRDefault="0077743E"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 </w:t>
      </w:r>
      <w:r w:rsidR="00BB1FCE" w:rsidRPr="00486067">
        <w:rPr>
          <w:rFonts w:ascii="Cambria" w:hAnsi="Cambria" w:cs="Arial"/>
          <w:sz w:val="24"/>
          <w:szCs w:val="24"/>
        </w:rPr>
        <w:t>Analysis data in this study is done using a simple statistic, the first step was to identify the data, tabulation of data for this purpose, futher suspended or percentage of data to determine the average assessment scores corresponding aspects are observed.</w:t>
      </w:r>
    </w:p>
    <w:p w:rsidR="007B426C" w:rsidRPr="00486067" w:rsidRDefault="007B426C" w:rsidP="00D24412">
      <w:pPr>
        <w:spacing w:before="120" w:after="120" w:line="240" w:lineRule="auto"/>
        <w:jc w:val="both"/>
        <w:rPr>
          <w:rFonts w:ascii="Cambria" w:hAnsi="Cambria" w:cs="Arial"/>
          <w:b/>
          <w:sz w:val="24"/>
          <w:szCs w:val="24"/>
        </w:rPr>
      </w:pPr>
      <w:r w:rsidRPr="00486067">
        <w:rPr>
          <w:rFonts w:ascii="Cambria" w:hAnsi="Cambria" w:cs="Arial"/>
          <w:b/>
          <w:sz w:val="24"/>
          <w:szCs w:val="24"/>
        </w:rPr>
        <w:t>Research Instrument</w:t>
      </w:r>
    </w:p>
    <w:p w:rsidR="007B426C" w:rsidRPr="00486067" w:rsidRDefault="007B426C" w:rsidP="00D24412">
      <w:pPr>
        <w:spacing w:before="120" w:after="120" w:line="240" w:lineRule="auto"/>
        <w:jc w:val="both"/>
        <w:rPr>
          <w:rFonts w:ascii="Cambria" w:hAnsi="Cambria" w:cs="Arial"/>
          <w:sz w:val="24"/>
          <w:szCs w:val="24"/>
          <w:lang w:val="id-ID"/>
        </w:rPr>
      </w:pPr>
      <w:r w:rsidRPr="00486067">
        <w:rPr>
          <w:rFonts w:ascii="Cambria" w:hAnsi="Cambria" w:cs="Arial"/>
          <w:sz w:val="24"/>
          <w:szCs w:val="24"/>
        </w:rPr>
        <w:t xml:space="preserve">Instrument ferers to the process of preparing </w:t>
      </w:r>
      <w:r w:rsidR="00CF79F8" w:rsidRPr="00486067">
        <w:rPr>
          <w:rFonts w:ascii="Cambria" w:hAnsi="Cambria" w:cs="Arial"/>
          <w:sz w:val="24"/>
          <w:szCs w:val="24"/>
        </w:rPr>
        <w:t xml:space="preserve">a conceptual definition and operational definition of each translated into a number of indicators , of yhe indicator is arranged items include question or statements with answer choices. This study specifically using rating scale to measure aspects and indicators, and the indicators are used as a starting point to develop instruments which items can be a statement. </w:t>
      </w:r>
      <w:r w:rsidR="00CF79F8" w:rsidRPr="00486067">
        <w:rPr>
          <w:rFonts w:ascii="Cambria" w:hAnsi="Cambria" w:cs="Arial"/>
          <w:i/>
          <w:sz w:val="24"/>
          <w:szCs w:val="24"/>
        </w:rPr>
        <w:t xml:space="preserve">Rating Scale </w:t>
      </w:r>
      <w:r w:rsidR="00CF79F8" w:rsidRPr="00486067">
        <w:rPr>
          <w:rFonts w:ascii="Cambria" w:hAnsi="Cambria" w:cs="Arial"/>
          <w:sz w:val="24"/>
          <w:szCs w:val="24"/>
        </w:rPr>
        <w:t>is more flexible instrument to measure each item. Therefore the research must be able to interpret any given number of alternative answers to each item on the instrument.</w:t>
      </w:r>
    </w:p>
    <w:p w:rsidR="00625D66" w:rsidRPr="00486067" w:rsidRDefault="0074380F" w:rsidP="00D24412">
      <w:pPr>
        <w:spacing w:before="120" w:after="120" w:line="240" w:lineRule="auto"/>
        <w:jc w:val="both"/>
        <w:rPr>
          <w:rFonts w:ascii="Cambria" w:hAnsi="Cambria" w:cs="Arial"/>
          <w:b/>
          <w:sz w:val="24"/>
          <w:szCs w:val="24"/>
        </w:rPr>
      </w:pPr>
      <w:r w:rsidRPr="00486067">
        <w:rPr>
          <w:rFonts w:ascii="Cambria" w:hAnsi="Cambria" w:cs="Arial"/>
          <w:b/>
          <w:sz w:val="24"/>
          <w:szCs w:val="24"/>
        </w:rPr>
        <w:t>Criteria of Evaluation</w:t>
      </w:r>
    </w:p>
    <w:p w:rsidR="002B19B1" w:rsidRPr="00486067" w:rsidRDefault="00660240" w:rsidP="00D24412">
      <w:pPr>
        <w:spacing w:before="120" w:after="120" w:line="240" w:lineRule="auto"/>
        <w:jc w:val="both"/>
        <w:rPr>
          <w:rFonts w:ascii="Cambria" w:hAnsi="Cambria" w:cs="Arial"/>
          <w:sz w:val="24"/>
          <w:szCs w:val="24"/>
        </w:rPr>
      </w:pPr>
      <w:r w:rsidRPr="00486067">
        <w:rPr>
          <w:rFonts w:ascii="Cambria" w:hAnsi="Cambria" w:cs="Arial"/>
          <w:sz w:val="24"/>
          <w:szCs w:val="24"/>
        </w:rPr>
        <w:t>Evaluation of public polic</w:t>
      </w:r>
      <w:r w:rsidR="0077743E" w:rsidRPr="00486067">
        <w:rPr>
          <w:rFonts w:ascii="Cambria" w:hAnsi="Cambria" w:cs="Arial"/>
          <w:sz w:val="24"/>
          <w:szCs w:val="24"/>
        </w:rPr>
        <w:t>ies,</w:t>
      </w:r>
      <w:r w:rsidRPr="00486067">
        <w:rPr>
          <w:rFonts w:ascii="Cambria" w:hAnsi="Cambria" w:cs="Arial"/>
          <w:sz w:val="24"/>
          <w:szCs w:val="24"/>
        </w:rPr>
        <w:t xml:space="preserve"> in </w:t>
      </w:r>
      <w:r w:rsidR="002230B3" w:rsidRPr="00486067">
        <w:rPr>
          <w:rFonts w:ascii="Cambria" w:hAnsi="Cambria" w:cs="Arial"/>
          <w:sz w:val="24"/>
          <w:szCs w:val="24"/>
        </w:rPr>
        <w:t xml:space="preserve">the development </w:t>
      </w:r>
      <w:r w:rsidRPr="00486067">
        <w:rPr>
          <w:rFonts w:ascii="Cambria" w:hAnsi="Cambria" w:cs="Arial"/>
          <w:sz w:val="24"/>
          <w:szCs w:val="24"/>
        </w:rPr>
        <w:t xml:space="preserve"> </w:t>
      </w:r>
      <w:r w:rsidR="002230B3" w:rsidRPr="00486067">
        <w:rPr>
          <w:rFonts w:ascii="Cambria" w:hAnsi="Cambria" w:cs="Arial"/>
          <w:sz w:val="24"/>
          <w:szCs w:val="24"/>
        </w:rPr>
        <w:t>stages of its implementation using multiple indicators in order to avoid bis a well as guidelines or directines for evaluators. Criteria set a benchmark in determining the success or failure of a public police.</w:t>
      </w:r>
    </w:p>
    <w:p w:rsidR="00836191" w:rsidRPr="00486067" w:rsidRDefault="00836191" w:rsidP="00D24412">
      <w:pPr>
        <w:spacing w:after="0" w:line="240" w:lineRule="auto"/>
        <w:jc w:val="both"/>
        <w:rPr>
          <w:rFonts w:ascii="Cambria" w:hAnsi="Cambria" w:cs="Arial"/>
          <w:sz w:val="24"/>
          <w:szCs w:val="24"/>
        </w:rPr>
      </w:pPr>
      <w:r w:rsidRPr="00486067">
        <w:rPr>
          <w:rFonts w:ascii="Cambria" w:hAnsi="Cambria" w:cs="Arial"/>
          <w:sz w:val="24"/>
          <w:szCs w:val="24"/>
        </w:rPr>
        <w:lastRenderedPageBreak/>
        <w:t xml:space="preserve">Policy recommendation with the same criteria of evaluation criteria of the policy, the policy criteria consisted of: effectiveness, efficiency, adequacy, equity, responsiveness.   </w:t>
      </w:r>
    </w:p>
    <w:p w:rsidR="00AD711D" w:rsidRPr="00486067" w:rsidRDefault="00AD711D" w:rsidP="00D24412">
      <w:pPr>
        <w:spacing w:line="240" w:lineRule="auto"/>
        <w:jc w:val="both"/>
        <w:rPr>
          <w:rFonts w:ascii="Cambria" w:hAnsi="Cambria" w:cs="Arial"/>
          <w:b/>
          <w:sz w:val="24"/>
          <w:szCs w:val="24"/>
        </w:rPr>
      </w:pPr>
      <w:r w:rsidRPr="00486067">
        <w:rPr>
          <w:rFonts w:ascii="Cambria" w:hAnsi="Cambria" w:cs="Arial"/>
          <w:b/>
          <w:sz w:val="24"/>
          <w:szCs w:val="24"/>
        </w:rPr>
        <w:t>RESULTS AND DISCUSSION</w:t>
      </w:r>
    </w:p>
    <w:p w:rsidR="00AD711D" w:rsidRPr="00486067" w:rsidRDefault="00AD711D" w:rsidP="00D24412">
      <w:pPr>
        <w:spacing w:after="0" w:line="240" w:lineRule="auto"/>
        <w:jc w:val="both"/>
        <w:rPr>
          <w:rFonts w:ascii="Cambria" w:hAnsi="Cambria" w:cs="Arial"/>
          <w:sz w:val="24"/>
          <w:szCs w:val="24"/>
        </w:rPr>
      </w:pPr>
      <w:r w:rsidRPr="00486067">
        <w:rPr>
          <w:rFonts w:ascii="Cambria" w:hAnsi="Cambria" w:cs="Arial"/>
          <w:b/>
          <w:sz w:val="24"/>
          <w:szCs w:val="24"/>
        </w:rPr>
        <w:t>Results</w:t>
      </w:r>
    </w:p>
    <w:p w:rsidR="00AD711D" w:rsidRPr="00486067" w:rsidRDefault="00AD711D" w:rsidP="00D24412">
      <w:pPr>
        <w:spacing w:after="0" w:line="240" w:lineRule="auto"/>
        <w:jc w:val="both"/>
        <w:rPr>
          <w:rFonts w:ascii="Cambria" w:hAnsi="Cambria" w:cs="Arial"/>
          <w:sz w:val="24"/>
          <w:szCs w:val="24"/>
          <w:lang w:val="id-ID"/>
        </w:rPr>
      </w:pPr>
      <w:r w:rsidRPr="00486067">
        <w:rPr>
          <w:rFonts w:ascii="Cambria" w:hAnsi="Cambria" w:cs="Arial"/>
          <w:sz w:val="24"/>
          <w:szCs w:val="24"/>
        </w:rPr>
        <w:t xml:space="preserve">Based evaluation of policy implementation Local Regulation number 10 of 2002 concerning the management of underground water. Underground water management implemented  based  on the  principle </w:t>
      </w:r>
      <w:r w:rsidRPr="00486067">
        <w:rPr>
          <w:rFonts w:ascii="Cambria" w:hAnsi="Cambria" w:cs="Arial"/>
          <w:sz w:val="24"/>
          <w:szCs w:val="24"/>
        </w:rPr>
        <w:t xml:space="preserve">of public benefit, balance and preservation of the environment, in addition to the underground water rights is the right to obtain and use water to obtain and use the water for certain purpose, based on observation   in   other  research     areas, </w:t>
      </w:r>
      <w:r w:rsidR="004A40E3" w:rsidRPr="00486067">
        <w:rPr>
          <w:rFonts w:ascii="Cambria" w:hAnsi="Cambria" w:cs="Arial"/>
          <w:sz w:val="24"/>
          <w:szCs w:val="24"/>
        </w:rPr>
        <w:t>w</w:t>
      </w:r>
      <w:r w:rsidRPr="00486067">
        <w:rPr>
          <w:rFonts w:ascii="Cambria" w:hAnsi="Cambria" w:cs="Arial"/>
          <w:sz w:val="24"/>
          <w:szCs w:val="24"/>
        </w:rPr>
        <w:t>hile the highest value is based on observation 3.44 means that there is a high understanding of the aspects of monitoring    in   this    case   the   team</w:t>
      </w:r>
      <w:r w:rsidR="004A40E3" w:rsidRPr="00486067">
        <w:rPr>
          <w:rFonts w:ascii="Cambria" w:hAnsi="Cambria" w:cs="Arial"/>
          <w:sz w:val="24"/>
          <w:szCs w:val="24"/>
        </w:rPr>
        <w:t xml:space="preserve"> </w:t>
      </w:r>
      <w:r w:rsidR="00B91404" w:rsidRPr="00486067">
        <w:rPr>
          <w:rFonts w:ascii="Cambria" w:hAnsi="Cambria" w:cs="Arial"/>
          <w:sz w:val="24"/>
          <w:szCs w:val="24"/>
        </w:rPr>
        <w:t>conduct inspection and collection of the</w:t>
      </w:r>
      <w:r w:rsidR="004A40E3" w:rsidRPr="00486067">
        <w:rPr>
          <w:rFonts w:ascii="Cambria" w:hAnsi="Cambria" w:cs="Arial"/>
          <w:sz w:val="24"/>
          <w:szCs w:val="24"/>
        </w:rPr>
        <w:t xml:space="preserve"> </w:t>
      </w:r>
      <w:r w:rsidRPr="00486067">
        <w:rPr>
          <w:rFonts w:ascii="Cambria" w:hAnsi="Cambria" w:cs="Arial"/>
          <w:sz w:val="24"/>
          <w:szCs w:val="24"/>
        </w:rPr>
        <w:t>which evaluated the value aspect can be seen in the following table :</w:t>
      </w:r>
    </w:p>
    <w:p w:rsidR="0077743E" w:rsidRPr="00486067" w:rsidRDefault="0077743E" w:rsidP="00D24412">
      <w:pPr>
        <w:spacing w:after="0" w:line="240" w:lineRule="auto"/>
        <w:jc w:val="both"/>
        <w:rPr>
          <w:rFonts w:ascii="Cambria" w:hAnsi="Cambria" w:cs="Arial"/>
          <w:sz w:val="24"/>
          <w:szCs w:val="24"/>
          <w:lang w:val="id-ID"/>
        </w:rPr>
        <w:sectPr w:rsidR="0077743E" w:rsidRPr="00486067" w:rsidSect="0077743E">
          <w:type w:val="continuous"/>
          <w:pgSz w:w="12240" w:h="15840"/>
          <w:pgMar w:top="1872" w:right="1728" w:bottom="1728" w:left="1872" w:header="720" w:footer="546" w:gutter="0"/>
          <w:cols w:num="2" w:space="720"/>
          <w:docGrid w:linePitch="360"/>
        </w:sectPr>
      </w:pPr>
    </w:p>
    <w:p w:rsidR="0077743E" w:rsidRPr="00486067" w:rsidRDefault="0077743E" w:rsidP="00D24412">
      <w:pPr>
        <w:pStyle w:val="NormalWeb"/>
        <w:spacing w:before="0" w:beforeAutospacing="0" w:after="0" w:afterAutospacing="0"/>
        <w:jc w:val="center"/>
        <w:rPr>
          <w:rFonts w:ascii="Cambria" w:hAnsi="Cambria" w:cs="Arial"/>
          <w:lang w:val="id-ID"/>
        </w:rPr>
      </w:pPr>
    </w:p>
    <w:p w:rsidR="0077743E" w:rsidRPr="00486067" w:rsidRDefault="0077743E" w:rsidP="00D24412">
      <w:pPr>
        <w:pStyle w:val="NormalWeb"/>
        <w:spacing w:before="0" w:beforeAutospacing="0" w:after="0" w:afterAutospacing="0"/>
        <w:jc w:val="center"/>
        <w:rPr>
          <w:rFonts w:ascii="Cambria" w:hAnsi="Cambria" w:cs="Arial"/>
          <w:lang w:val="id-ID"/>
        </w:rPr>
        <w:sectPr w:rsidR="0077743E" w:rsidRPr="00486067" w:rsidSect="0077743E">
          <w:type w:val="continuous"/>
          <w:pgSz w:w="12240" w:h="15840"/>
          <w:pgMar w:top="1872" w:right="1728" w:bottom="1728" w:left="1872" w:header="720" w:footer="546" w:gutter="0"/>
          <w:cols w:space="720"/>
          <w:docGrid w:linePitch="360"/>
        </w:sectPr>
      </w:pPr>
    </w:p>
    <w:tbl>
      <w:tblPr>
        <w:tblStyle w:val="TableGrid"/>
        <w:tblW w:w="9090" w:type="dxa"/>
        <w:tblInd w:w="108" w:type="dxa"/>
        <w:tblLayout w:type="fixed"/>
        <w:tblLook w:val="04A0" w:firstRow="1" w:lastRow="0" w:firstColumn="1" w:lastColumn="0" w:noHBand="0" w:noVBand="1"/>
      </w:tblPr>
      <w:tblGrid>
        <w:gridCol w:w="2250"/>
        <w:gridCol w:w="1170"/>
        <w:gridCol w:w="1080"/>
        <w:gridCol w:w="1260"/>
        <w:gridCol w:w="1260"/>
        <w:gridCol w:w="2070"/>
      </w:tblGrid>
      <w:tr w:rsidR="004B3BD1" w:rsidRPr="00486067" w:rsidTr="005A00C0">
        <w:trPr>
          <w:trHeight w:val="525"/>
        </w:trPr>
        <w:tc>
          <w:tcPr>
            <w:tcW w:w="9090" w:type="dxa"/>
            <w:gridSpan w:val="6"/>
            <w:tcBorders>
              <w:top w:val="nil"/>
              <w:left w:val="nil"/>
              <w:right w:val="nil"/>
            </w:tcBorders>
            <w:shd w:val="clear" w:color="auto" w:fill="auto"/>
            <w:vAlign w:val="center"/>
          </w:tcPr>
          <w:p w:rsidR="004B3BD1" w:rsidRPr="00486067" w:rsidRDefault="004B3BD1" w:rsidP="00D24412">
            <w:pPr>
              <w:spacing w:after="120"/>
              <w:jc w:val="center"/>
              <w:rPr>
                <w:rFonts w:ascii="Cambria" w:eastAsia="Times New Roman" w:hAnsi="Cambria" w:cs="Arial"/>
                <w:sz w:val="24"/>
                <w:szCs w:val="24"/>
              </w:rPr>
            </w:pPr>
            <w:r w:rsidRPr="00486067">
              <w:rPr>
                <w:rFonts w:ascii="Cambria" w:hAnsi="Cambria" w:cs="Arial"/>
                <w:sz w:val="24"/>
                <w:szCs w:val="24"/>
              </w:rPr>
              <w:t>Table 2. Evaluation of the Implementation of the Value Aspects of Underground Water Management Policies Based on the Characteristic of the Region</w:t>
            </w:r>
          </w:p>
        </w:tc>
      </w:tr>
      <w:tr w:rsidR="004B3BD1" w:rsidRPr="00486067" w:rsidTr="005A00C0">
        <w:trPr>
          <w:trHeight w:val="525"/>
        </w:trPr>
        <w:tc>
          <w:tcPr>
            <w:tcW w:w="2250" w:type="dxa"/>
            <w:vMerge w:val="restart"/>
            <w:tcBorders>
              <w:top w:val="single" w:sz="12" w:space="0" w:color="E36C0A" w:themeColor="accent6" w:themeShade="BF"/>
              <w:left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Characteristic</w:t>
            </w:r>
          </w:p>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of the Observation Point</w:t>
            </w:r>
          </w:p>
        </w:tc>
        <w:tc>
          <w:tcPr>
            <w:tcW w:w="6840" w:type="dxa"/>
            <w:gridSpan w:val="5"/>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jc w:val="center"/>
              <w:rPr>
                <w:rFonts w:ascii="Cambria" w:hAnsi="Cambria" w:cs="Arial"/>
                <w:sz w:val="20"/>
                <w:szCs w:val="20"/>
              </w:rPr>
            </w:pPr>
            <w:r w:rsidRPr="00486067">
              <w:rPr>
                <w:rFonts w:ascii="Cambria" w:eastAsia="Times New Roman" w:hAnsi="Cambria" w:cs="Arial"/>
                <w:sz w:val="20"/>
                <w:szCs w:val="20"/>
                <w:lang w:val="en-US"/>
              </w:rPr>
              <w:t>Evaluation of Implementation Policy</w:t>
            </w:r>
          </w:p>
        </w:tc>
      </w:tr>
      <w:tr w:rsidR="004B3BD1" w:rsidRPr="00486067" w:rsidTr="005A00C0">
        <w:trPr>
          <w:trHeight w:val="420"/>
        </w:trPr>
        <w:tc>
          <w:tcPr>
            <w:tcW w:w="2250" w:type="dxa"/>
            <w:vMerge/>
            <w:tcBorders>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rPr>
            </w:pPr>
          </w:p>
        </w:tc>
        <w:tc>
          <w:tcPr>
            <w:tcW w:w="11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Planning</w:t>
            </w:r>
          </w:p>
        </w:tc>
        <w:tc>
          <w:tcPr>
            <w:tcW w:w="108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License</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Supervision</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Demolition</w:t>
            </w:r>
          </w:p>
        </w:tc>
        <w:tc>
          <w:tcPr>
            <w:tcW w:w="20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B8CCE4" w:themeFill="accent1" w:themeFillTint="66"/>
            <w:vAlign w:val="center"/>
          </w:tcPr>
          <w:p w:rsidR="004B3BD1" w:rsidRPr="00486067" w:rsidRDefault="004B3BD1" w:rsidP="00D24412">
            <w:pPr>
              <w:pStyle w:val="NormalWeb"/>
              <w:spacing w:before="0" w:beforeAutospacing="0" w:after="0" w:afterAutospacing="0"/>
              <w:jc w:val="center"/>
              <w:rPr>
                <w:rFonts w:ascii="Cambria" w:hAnsi="Cambria" w:cs="Arial"/>
                <w:sz w:val="20"/>
                <w:szCs w:val="20"/>
                <w:lang w:val="en-US"/>
              </w:rPr>
            </w:pPr>
            <w:r w:rsidRPr="00486067">
              <w:rPr>
                <w:rFonts w:ascii="Cambria" w:hAnsi="Cambria" w:cs="Arial"/>
                <w:sz w:val="20"/>
                <w:szCs w:val="20"/>
                <w:lang w:val="en-US"/>
              </w:rPr>
              <w:t>Conservation    of Underground Water</w:t>
            </w:r>
          </w:p>
        </w:tc>
      </w:tr>
      <w:tr w:rsidR="004B3BD1" w:rsidRPr="00486067" w:rsidTr="005A00C0">
        <w:tc>
          <w:tcPr>
            <w:tcW w:w="225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Bekasi Barat</w:t>
            </w:r>
          </w:p>
        </w:tc>
        <w:tc>
          <w:tcPr>
            <w:tcW w:w="117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08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c>
          <w:tcPr>
            <w:tcW w:w="126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4.0</w:t>
            </w:r>
          </w:p>
        </w:tc>
        <w:tc>
          <w:tcPr>
            <w:tcW w:w="126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3,4</w:t>
            </w:r>
          </w:p>
        </w:tc>
        <w:tc>
          <w:tcPr>
            <w:tcW w:w="2070" w:type="dxa"/>
            <w:tcBorders>
              <w:top w:val="single" w:sz="12" w:space="0" w:color="E36C0A" w:themeColor="accent6" w:themeShade="BF"/>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2,4</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Bekasi Timur</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3,5</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3,1</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Bekasi Utara</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2,9</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3,3</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3,5</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Pondok Gede</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3,1</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3,1</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2,6</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Bekasi Selatan</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2,5</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2,8</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2,8</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2,7</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Rawa Lumbu</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3,6</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Jati Asih</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2,4</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2,6</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2,8</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2,1</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Bantar Gebang</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3,3</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4,0</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3,6</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2,0</w:t>
            </w:r>
          </w:p>
        </w:tc>
      </w:tr>
      <w:tr w:rsidR="004B3BD1" w:rsidRPr="00486067" w:rsidTr="005A00C0">
        <w:tc>
          <w:tcPr>
            <w:tcW w:w="225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Jati Sampurna</w:t>
            </w:r>
          </w:p>
        </w:tc>
        <w:tc>
          <w:tcPr>
            <w:tcW w:w="11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3,5</w:t>
            </w:r>
          </w:p>
        </w:tc>
        <w:tc>
          <w:tcPr>
            <w:tcW w:w="108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4,0</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3,8</w:t>
            </w:r>
          </w:p>
        </w:tc>
        <w:tc>
          <w:tcPr>
            <w:tcW w:w="126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2070" w:type="dxa"/>
            <w:tcBorders>
              <w:left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2,7</w:t>
            </w:r>
          </w:p>
        </w:tc>
      </w:tr>
      <w:tr w:rsidR="004B3BD1" w:rsidRPr="00486067" w:rsidTr="005A00C0">
        <w:tc>
          <w:tcPr>
            <w:tcW w:w="225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Medan Satria</w:t>
            </w:r>
          </w:p>
        </w:tc>
        <w:tc>
          <w:tcPr>
            <w:tcW w:w="117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08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3,7</w:t>
            </w:r>
          </w:p>
        </w:tc>
        <w:tc>
          <w:tcPr>
            <w:tcW w:w="126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w:t>
            </w:r>
          </w:p>
        </w:tc>
        <w:tc>
          <w:tcPr>
            <w:tcW w:w="126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2,9</w:t>
            </w:r>
          </w:p>
        </w:tc>
        <w:tc>
          <w:tcPr>
            <w:tcW w:w="2070" w:type="dxa"/>
            <w:tcBorders>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w:t>
            </w:r>
          </w:p>
        </w:tc>
      </w:tr>
      <w:tr w:rsidR="004B3BD1" w:rsidRPr="00486067" w:rsidTr="005A00C0">
        <w:tc>
          <w:tcPr>
            <w:tcW w:w="225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Total</w:t>
            </w:r>
          </w:p>
        </w:tc>
        <w:tc>
          <w:tcPr>
            <w:tcW w:w="11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30,8</w:t>
            </w:r>
          </w:p>
        </w:tc>
        <w:tc>
          <w:tcPr>
            <w:tcW w:w="108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33,3</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34,4</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32,4</w:t>
            </w:r>
          </w:p>
        </w:tc>
        <w:tc>
          <w:tcPr>
            <w:tcW w:w="20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28,0</w:t>
            </w:r>
          </w:p>
        </w:tc>
      </w:tr>
      <w:tr w:rsidR="004B3BD1" w:rsidRPr="00486067" w:rsidTr="005A00C0">
        <w:tc>
          <w:tcPr>
            <w:tcW w:w="225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rPr>
                <w:rFonts w:ascii="Cambria" w:hAnsi="Cambria" w:cs="Arial"/>
                <w:sz w:val="20"/>
                <w:szCs w:val="20"/>
                <w:lang w:val="en-US"/>
              </w:rPr>
            </w:pPr>
            <w:r w:rsidRPr="00486067">
              <w:rPr>
                <w:rFonts w:ascii="Cambria" w:hAnsi="Cambria" w:cs="Arial"/>
                <w:sz w:val="20"/>
                <w:szCs w:val="20"/>
                <w:lang w:val="en-US"/>
              </w:rPr>
              <w:t>Mean</w:t>
            </w:r>
          </w:p>
        </w:tc>
        <w:tc>
          <w:tcPr>
            <w:tcW w:w="11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3,08</w:t>
            </w:r>
          </w:p>
        </w:tc>
        <w:tc>
          <w:tcPr>
            <w:tcW w:w="108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3,3</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3,44</w:t>
            </w: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3,24</w:t>
            </w:r>
          </w:p>
        </w:tc>
        <w:tc>
          <w:tcPr>
            <w:tcW w:w="20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sz w:val="20"/>
                <w:szCs w:val="20"/>
                <w:lang w:val="en-US"/>
              </w:rPr>
            </w:pPr>
            <w:r w:rsidRPr="00486067">
              <w:rPr>
                <w:rFonts w:ascii="Cambria" w:hAnsi="Cambria" w:cs="Arial"/>
                <w:sz w:val="20"/>
                <w:szCs w:val="20"/>
                <w:lang w:val="en-US"/>
              </w:rPr>
              <w:t>2,80</w:t>
            </w:r>
          </w:p>
        </w:tc>
      </w:tr>
      <w:tr w:rsidR="004B3BD1" w:rsidRPr="00486067" w:rsidTr="005A00C0">
        <w:tc>
          <w:tcPr>
            <w:tcW w:w="225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4B3BD1" w:rsidRPr="00486067" w:rsidRDefault="004B3BD1" w:rsidP="00D24412">
            <w:pPr>
              <w:pStyle w:val="NormalWeb"/>
              <w:spacing w:before="60" w:beforeAutospacing="0" w:after="60" w:afterAutospacing="0"/>
              <w:rPr>
                <w:rFonts w:ascii="Cambria" w:hAnsi="Cambria" w:cs="Arial"/>
                <w:lang w:val="en-US"/>
              </w:rPr>
            </w:pPr>
            <w:r w:rsidRPr="00486067">
              <w:rPr>
                <w:rFonts w:ascii="Cambria" w:hAnsi="Cambria" w:cs="Arial"/>
                <w:lang w:val="en-US"/>
              </w:rPr>
              <w:t>Percentage of  Informants  to Obtain Clean Water</w:t>
            </w:r>
          </w:p>
        </w:tc>
        <w:tc>
          <w:tcPr>
            <w:tcW w:w="11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rPr>
            </w:pPr>
          </w:p>
        </w:tc>
        <w:tc>
          <w:tcPr>
            <w:tcW w:w="108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rPr>
            </w:pP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rPr>
            </w:pPr>
          </w:p>
        </w:tc>
        <w:tc>
          <w:tcPr>
            <w:tcW w:w="126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rsidR="004B3BD1" w:rsidRPr="00486067" w:rsidRDefault="004B3BD1" w:rsidP="00D24412">
            <w:pPr>
              <w:pStyle w:val="NormalWeb"/>
              <w:spacing w:before="60" w:beforeAutospacing="0" w:after="60" w:afterAutospacing="0"/>
              <w:jc w:val="center"/>
              <w:rPr>
                <w:rFonts w:ascii="Cambria" w:hAnsi="Cambria" w:cs="Arial"/>
              </w:rPr>
            </w:pPr>
          </w:p>
        </w:tc>
        <w:tc>
          <w:tcPr>
            <w:tcW w:w="2070"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rsidR="004B3BD1" w:rsidRPr="00486067" w:rsidRDefault="004B3BD1" w:rsidP="00D24412">
            <w:pPr>
              <w:pStyle w:val="NormalWeb"/>
              <w:spacing w:before="60" w:beforeAutospacing="0" w:after="60" w:afterAutospacing="0"/>
              <w:jc w:val="center"/>
              <w:rPr>
                <w:rFonts w:ascii="Cambria" w:hAnsi="Cambria" w:cs="Arial"/>
                <w:lang w:val="en-US"/>
              </w:rPr>
            </w:pPr>
          </w:p>
          <w:p w:rsidR="004B3BD1" w:rsidRPr="00486067" w:rsidRDefault="004B3BD1" w:rsidP="00D24412">
            <w:pPr>
              <w:pStyle w:val="NormalWeb"/>
              <w:spacing w:before="60" w:beforeAutospacing="0" w:after="60" w:afterAutospacing="0"/>
              <w:jc w:val="center"/>
              <w:rPr>
                <w:rFonts w:ascii="Cambria" w:hAnsi="Cambria" w:cs="Arial"/>
                <w:lang w:val="en-US"/>
              </w:rPr>
            </w:pPr>
            <w:r w:rsidRPr="00486067">
              <w:rPr>
                <w:rFonts w:ascii="Cambria" w:hAnsi="Cambria" w:cs="Arial"/>
                <w:lang w:val="en-US"/>
              </w:rPr>
              <w:t>84,14 %</w:t>
            </w:r>
          </w:p>
        </w:tc>
      </w:tr>
      <w:tr w:rsidR="00C23B88" w:rsidRPr="00486067" w:rsidTr="005A00C0">
        <w:tc>
          <w:tcPr>
            <w:tcW w:w="9090" w:type="dxa"/>
            <w:gridSpan w:val="6"/>
            <w:tcBorders>
              <w:top w:val="single" w:sz="12" w:space="0" w:color="E36C0A" w:themeColor="accent6" w:themeShade="BF"/>
              <w:left w:val="nil"/>
              <w:bottom w:val="nil"/>
              <w:right w:val="nil"/>
            </w:tcBorders>
          </w:tcPr>
          <w:p w:rsidR="0077743E" w:rsidRPr="00486067" w:rsidRDefault="00C23B88" w:rsidP="005A00C0">
            <w:pPr>
              <w:spacing w:before="120"/>
              <w:jc w:val="center"/>
              <w:rPr>
                <w:rFonts w:ascii="Cambria" w:hAnsi="Cambria" w:cs="Arial"/>
                <w:i/>
                <w:sz w:val="24"/>
                <w:szCs w:val="24"/>
                <w:lang w:val="en-US"/>
              </w:rPr>
            </w:pPr>
            <w:r w:rsidRPr="00486067">
              <w:rPr>
                <w:rFonts w:ascii="Cambria" w:hAnsi="Cambria" w:cs="Arial"/>
                <w:i/>
                <w:sz w:val="24"/>
                <w:szCs w:val="24"/>
              </w:rPr>
              <w:t>Source  :  Processing Results, (2012)</w:t>
            </w:r>
          </w:p>
        </w:tc>
      </w:tr>
    </w:tbl>
    <w:p w:rsidR="004B3BD1" w:rsidRPr="00486067" w:rsidRDefault="004B3BD1" w:rsidP="00D24412">
      <w:pPr>
        <w:spacing w:after="0" w:line="240" w:lineRule="auto"/>
        <w:jc w:val="both"/>
        <w:rPr>
          <w:rFonts w:ascii="Cambria" w:hAnsi="Cambria" w:cs="Arial"/>
          <w:sz w:val="24"/>
          <w:szCs w:val="24"/>
          <w:lang w:val="id-ID"/>
        </w:rPr>
        <w:sectPr w:rsidR="004B3BD1" w:rsidRPr="00486067" w:rsidSect="0077743E">
          <w:type w:val="continuous"/>
          <w:pgSz w:w="12240" w:h="15840"/>
          <w:pgMar w:top="1872" w:right="1728" w:bottom="1728" w:left="1872" w:header="720" w:footer="720" w:gutter="0"/>
          <w:cols w:space="720"/>
          <w:docGrid w:linePitch="360"/>
        </w:sectPr>
      </w:pPr>
    </w:p>
    <w:p w:rsidR="00BE232A" w:rsidRPr="00486067" w:rsidRDefault="0001640F" w:rsidP="00D24412">
      <w:pPr>
        <w:spacing w:before="120" w:after="120" w:line="240" w:lineRule="auto"/>
        <w:jc w:val="both"/>
        <w:rPr>
          <w:rFonts w:ascii="Cambria" w:hAnsi="Cambria" w:cs="Arial"/>
          <w:sz w:val="24"/>
          <w:szCs w:val="24"/>
        </w:rPr>
      </w:pPr>
      <w:r w:rsidRPr="00486067">
        <w:rPr>
          <w:rFonts w:ascii="Cambria" w:hAnsi="Cambria" w:cs="Arial"/>
          <w:sz w:val="24"/>
          <w:szCs w:val="24"/>
        </w:rPr>
        <w:lastRenderedPageBreak/>
        <w:t xml:space="preserve">Observation 3.44 means that there is a high understanding of the aspects of monitoring in this case the team </w:t>
      </w:r>
      <w:r w:rsidR="00AD711D" w:rsidRPr="00486067">
        <w:rPr>
          <w:rFonts w:ascii="Cambria" w:hAnsi="Cambria" w:cs="Arial"/>
          <w:sz w:val="24"/>
          <w:szCs w:val="24"/>
        </w:rPr>
        <w:t xml:space="preserve">established by decision of the mayor </w:t>
      </w:r>
      <w:r w:rsidRPr="00486067">
        <w:rPr>
          <w:rFonts w:ascii="Cambria" w:hAnsi="Cambria" w:cs="Arial"/>
          <w:sz w:val="24"/>
          <w:szCs w:val="24"/>
        </w:rPr>
        <w:t xml:space="preserve">conduct inspection and collection of the </w:t>
      </w:r>
      <w:r w:rsidR="001C2C3C" w:rsidRPr="00486067">
        <w:rPr>
          <w:rFonts w:ascii="Cambria" w:hAnsi="Cambria" w:cs="Arial"/>
          <w:sz w:val="24"/>
          <w:szCs w:val="24"/>
        </w:rPr>
        <w:t xml:space="preserve">  </w:t>
      </w:r>
      <w:r w:rsidR="00AD711D" w:rsidRPr="00486067">
        <w:rPr>
          <w:rFonts w:ascii="Cambria" w:hAnsi="Cambria" w:cs="Arial"/>
          <w:sz w:val="24"/>
          <w:szCs w:val="24"/>
        </w:rPr>
        <w:t>necessary</w:t>
      </w:r>
      <w:r w:rsidR="001C2C3C" w:rsidRPr="00486067">
        <w:rPr>
          <w:rFonts w:ascii="Cambria" w:hAnsi="Cambria" w:cs="Arial"/>
          <w:sz w:val="24"/>
          <w:szCs w:val="24"/>
        </w:rPr>
        <w:t xml:space="preserve"> </w:t>
      </w:r>
      <w:r w:rsidR="00AD711D" w:rsidRPr="00486067">
        <w:rPr>
          <w:rFonts w:ascii="Cambria" w:hAnsi="Cambria" w:cs="Arial"/>
          <w:sz w:val="24"/>
          <w:szCs w:val="24"/>
        </w:rPr>
        <w:t xml:space="preserve"> </w:t>
      </w:r>
      <w:r w:rsidR="001C2C3C" w:rsidRPr="00486067">
        <w:rPr>
          <w:rFonts w:ascii="Cambria" w:hAnsi="Cambria" w:cs="Arial"/>
          <w:sz w:val="24"/>
          <w:szCs w:val="24"/>
        </w:rPr>
        <w:t xml:space="preserve"> </w:t>
      </w:r>
      <w:r w:rsidR="00AD711D" w:rsidRPr="00486067">
        <w:rPr>
          <w:rFonts w:ascii="Cambria" w:hAnsi="Cambria" w:cs="Arial"/>
          <w:sz w:val="24"/>
          <w:szCs w:val="24"/>
        </w:rPr>
        <w:t xml:space="preserve">information </w:t>
      </w:r>
      <w:r w:rsidR="001C2C3C" w:rsidRPr="00486067">
        <w:rPr>
          <w:rFonts w:ascii="Cambria" w:hAnsi="Cambria" w:cs="Arial"/>
          <w:sz w:val="24"/>
          <w:szCs w:val="24"/>
        </w:rPr>
        <w:t xml:space="preserve"> </w:t>
      </w:r>
      <w:r w:rsidR="00AD711D" w:rsidRPr="00486067">
        <w:rPr>
          <w:rFonts w:ascii="Cambria" w:hAnsi="Cambria" w:cs="Arial"/>
          <w:sz w:val="24"/>
          <w:szCs w:val="24"/>
        </w:rPr>
        <w:t>on a regular basis every (3) three   months  to the point</w:t>
      </w:r>
      <w:r w:rsidR="004A40E3" w:rsidRPr="00486067">
        <w:rPr>
          <w:rFonts w:ascii="Cambria" w:hAnsi="Cambria" w:cs="Arial"/>
          <w:sz w:val="24"/>
          <w:szCs w:val="24"/>
        </w:rPr>
        <w:t xml:space="preserve"> </w:t>
      </w:r>
      <w:r w:rsidR="00A75C9D" w:rsidRPr="00486067">
        <w:rPr>
          <w:rFonts w:ascii="Cambria" w:hAnsi="Cambria" w:cs="Arial"/>
          <w:sz w:val="24"/>
          <w:szCs w:val="24"/>
        </w:rPr>
        <w:t>where as underground water, in addition to collect data on the volume of underground water extraction, structuring technical</w:t>
      </w:r>
      <w:r w:rsidRPr="00486067">
        <w:rPr>
          <w:rFonts w:ascii="Cambria" w:hAnsi="Cambria" w:cs="Arial"/>
          <w:sz w:val="24"/>
          <w:szCs w:val="24"/>
        </w:rPr>
        <w:t xml:space="preserve"> </w:t>
      </w:r>
      <w:r w:rsidR="00A75C9D" w:rsidRPr="00486067">
        <w:rPr>
          <w:rFonts w:ascii="Cambria" w:hAnsi="Cambria" w:cs="Arial"/>
          <w:sz w:val="24"/>
          <w:szCs w:val="24"/>
        </w:rPr>
        <w:t>and construction drilling and test pumping wells. Monitoring was also conducted at each monthly reporting to be done for each permit holder, the industry as users of underground water shall report any activity to the officer regarding the volume of water used debit / month.</w:t>
      </w:r>
    </w:p>
    <w:p w:rsidR="00A75C9D" w:rsidRPr="00486067" w:rsidRDefault="0077743E" w:rsidP="00D24412">
      <w:pPr>
        <w:spacing w:before="240" w:after="120" w:line="240" w:lineRule="auto"/>
        <w:jc w:val="both"/>
        <w:rPr>
          <w:rFonts w:ascii="Cambria" w:hAnsi="Cambria" w:cs="Arial"/>
          <w:b/>
          <w:sz w:val="24"/>
          <w:szCs w:val="24"/>
        </w:rPr>
      </w:pPr>
      <w:r w:rsidRPr="00486067">
        <w:rPr>
          <w:rFonts w:ascii="Cambria" w:hAnsi="Cambria" w:cs="Arial"/>
          <w:b/>
          <w:sz w:val="24"/>
          <w:szCs w:val="24"/>
        </w:rPr>
        <w:t>DISCUSSION</w:t>
      </w:r>
    </w:p>
    <w:p w:rsidR="00A75C9D" w:rsidRPr="00486067" w:rsidRDefault="00A75C9D"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Policy evaluation is an important part in the implementation , however recent developments prove that the success and failure of policy is no longer determined by the reliability of the policy and </w:t>
      </w:r>
      <w:r w:rsidR="00226107" w:rsidRPr="00486067">
        <w:rPr>
          <w:rFonts w:ascii="Cambria" w:hAnsi="Cambria" w:cs="Arial"/>
          <w:sz w:val="24"/>
          <w:szCs w:val="24"/>
        </w:rPr>
        <w:t>its implementation, but support environment, environmen</w:t>
      </w:r>
      <w:r w:rsidR="00136AB9" w:rsidRPr="00486067">
        <w:rPr>
          <w:rFonts w:ascii="Cambria" w:hAnsi="Cambria" w:cs="Arial"/>
          <w:sz w:val="24"/>
          <w:szCs w:val="24"/>
        </w:rPr>
        <w:t xml:space="preserve">tal context is promoted because </w:t>
      </w:r>
      <w:r w:rsidR="00226107" w:rsidRPr="00486067">
        <w:rPr>
          <w:rFonts w:ascii="Cambria" w:hAnsi="Cambria" w:cs="Arial"/>
          <w:sz w:val="24"/>
          <w:szCs w:val="24"/>
        </w:rPr>
        <w:t>the changes occurring today and in the future is a big change is volume and fast.</w:t>
      </w:r>
    </w:p>
    <w:p w:rsidR="00226107" w:rsidRPr="00486067" w:rsidRDefault="00226107" w:rsidP="00D24412">
      <w:pPr>
        <w:spacing w:before="120" w:after="120" w:line="240" w:lineRule="auto"/>
        <w:jc w:val="both"/>
        <w:rPr>
          <w:rFonts w:ascii="Cambria" w:hAnsi="Cambria" w:cs="Arial"/>
          <w:sz w:val="24"/>
          <w:szCs w:val="24"/>
        </w:rPr>
      </w:pPr>
      <w:r w:rsidRPr="00486067">
        <w:rPr>
          <w:rFonts w:ascii="Cambria" w:hAnsi="Cambria" w:cs="Arial"/>
          <w:sz w:val="24"/>
          <w:szCs w:val="24"/>
        </w:rPr>
        <w:t>This fact was so worried because we saw a lot of policies</w:t>
      </w:r>
      <w:r w:rsidR="009618FF" w:rsidRPr="00486067">
        <w:rPr>
          <w:rFonts w:ascii="Cambria" w:hAnsi="Cambria" w:cs="Arial"/>
          <w:sz w:val="24"/>
          <w:szCs w:val="24"/>
        </w:rPr>
        <w:t xml:space="preserve"> that suddenly made absolete whe</w:t>
      </w:r>
      <w:r w:rsidRPr="00486067">
        <w:rPr>
          <w:rFonts w:ascii="Cambria" w:hAnsi="Cambria" w:cs="Arial"/>
          <w:sz w:val="24"/>
          <w:szCs w:val="24"/>
        </w:rPr>
        <w:t>n completed because of the change. As well as underground water management policy adopted in 2002 with the goal of providing a clear legal basis in regulating the management of underground water in the area, in addition to the implementation of this policy in order to underground water management is done in a controlled, efficiend and environmentally sound.</w:t>
      </w:r>
    </w:p>
    <w:p w:rsidR="000E5DB3" w:rsidRPr="00486067" w:rsidRDefault="00796705"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      </w:t>
      </w:r>
      <w:r w:rsidR="00226107" w:rsidRPr="00486067">
        <w:rPr>
          <w:rFonts w:ascii="Cambria" w:hAnsi="Cambria" w:cs="Arial"/>
          <w:sz w:val="24"/>
          <w:szCs w:val="24"/>
        </w:rPr>
        <w:t xml:space="preserve">Bekasi City is one of the cities in Indonesia are experiencing repid </w:t>
      </w:r>
      <w:r w:rsidR="00226107" w:rsidRPr="00486067">
        <w:rPr>
          <w:rFonts w:ascii="Cambria" w:hAnsi="Cambria" w:cs="Arial"/>
          <w:sz w:val="24"/>
          <w:szCs w:val="24"/>
        </w:rPr>
        <w:t>development, the higher the number of people who need clean water to the higher consumption, industry and services sector is growing in the City of Bekasi</w:t>
      </w:r>
      <w:r w:rsidRPr="00486067">
        <w:rPr>
          <w:rFonts w:ascii="Cambria" w:hAnsi="Cambria" w:cs="Arial"/>
          <w:sz w:val="24"/>
          <w:szCs w:val="24"/>
        </w:rPr>
        <w:t>. Industrial and services sector is a sector that desperately need clean water for their production activities.</w:t>
      </w:r>
    </w:p>
    <w:p w:rsidR="0077743E" w:rsidRPr="00486067" w:rsidRDefault="00796705" w:rsidP="00D24412">
      <w:pPr>
        <w:spacing w:before="120" w:after="120" w:line="240" w:lineRule="auto"/>
        <w:jc w:val="both"/>
        <w:rPr>
          <w:rFonts w:ascii="Cambria" w:hAnsi="Cambria" w:cs="Arial"/>
          <w:sz w:val="24"/>
          <w:szCs w:val="24"/>
          <w:lang w:val="id-ID"/>
        </w:rPr>
      </w:pPr>
      <w:r w:rsidRPr="00486067">
        <w:rPr>
          <w:rFonts w:ascii="Cambria" w:hAnsi="Cambria" w:cs="Arial"/>
          <w:sz w:val="24"/>
          <w:szCs w:val="24"/>
        </w:rPr>
        <w:t>Local Regulation number 10 of 2002 is regulating the use and underground water extraction in particular to enterprises, either state owned companies enterprises, coorporatives, institutions, foundations, hospitals and other organizations.</w:t>
      </w:r>
    </w:p>
    <w:p w:rsidR="00796705" w:rsidRPr="00486067" w:rsidRDefault="00796705" w:rsidP="00D24412">
      <w:pPr>
        <w:spacing w:before="120" w:after="120" w:line="240" w:lineRule="auto"/>
        <w:jc w:val="both"/>
        <w:rPr>
          <w:rFonts w:ascii="Cambria" w:hAnsi="Cambria" w:cs="Arial"/>
          <w:sz w:val="24"/>
          <w:szCs w:val="24"/>
        </w:rPr>
      </w:pPr>
      <w:r w:rsidRPr="00486067">
        <w:rPr>
          <w:rFonts w:ascii="Cambria" w:hAnsi="Cambria" w:cs="Arial"/>
          <w:sz w:val="24"/>
          <w:szCs w:val="24"/>
        </w:rPr>
        <w:t xml:space="preserve"> The Local Regulation provide flexibility for license holders without violating the laws in force, the obligation for license holders include underground water extraction with discharge over 50 liters / second derived from 5 (five) areas. In addition on the location and contruction of monitoring wells or infiltration is</w:t>
      </w:r>
      <w:r w:rsidR="001755AC" w:rsidRPr="00486067">
        <w:rPr>
          <w:rFonts w:ascii="Cambria" w:hAnsi="Cambria" w:cs="Arial"/>
          <w:sz w:val="24"/>
          <w:szCs w:val="24"/>
        </w:rPr>
        <w:t xml:space="preserve"> determined by stakeholders</w:t>
      </w:r>
      <w:r w:rsidRPr="00486067">
        <w:rPr>
          <w:rFonts w:ascii="Cambria" w:hAnsi="Cambria" w:cs="Arial"/>
          <w:sz w:val="24"/>
          <w:szCs w:val="24"/>
        </w:rPr>
        <w:t>.</w:t>
      </w:r>
    </w:p>
    <w:p w:rsidR="00796705" w:rsidRPr="00486067" w:rsidRDefault="00796705" w:rsidP="00D24412">
      <w:pPr>
        <w:spacing w:before="120" w:after="120" w:line="240" w:lineRule="auto"/>
        <w:jc w:val="both"/>
        <w:rPr>
          <w:rFonts w:ascii="Cambria" w:hAnsi="Cambria" w:cs="Arial"/>
          <w:sz w:val="24"/>
          <w:szCs w:val="24"/>
        </w:rPr>
      </w:pPr>
      <w:r w:rsidRPr="00486067">
        <w:rPr>
          <w:rFonts w:ascii="Cambria" w:hAnsi="Cambria" w:cs="Arial"/>
          <w:sz w:val="24"/>
          <w:szCs w:val="24"/>
        </w:rPr>
        <w:t>Though this policy needs clean water used every company or business entity for the activities of the production</w:t>
      </w:r>
      <w:r w:rsidR="00665894" w:rsidRPr="00486067">
        <w:rPr>
          <w:rFonts w:ascii="Cambria" w:hAnsi="Cambria" w:cs="Arial"/>
          <w:sz w:val="24"/>
          <w:szCs w:val="24"/>
        </w:rPr>
        <w:t xml:space="preserve"> process can be met, but there are still many activities taking excessive underground water </w:t>
      </w:r>
      <w:r w:rsidR="001755AC" w:rsidRPr="00486067">
        <w:rPr>
          <w:rFonts w:ascii="Cambria" w:hAnsi="Cambria" w:cs="Arial"/>
          <w:sz w:val="24"/>
          <w:szCs w:val="24"/>
        </w:rPr>
        <w:t>does not go through the procedures or regulation,</w:t>
      </w:r>
      <w:r w:rsidR="00DE6771" w:rsidRPr="00486067">
        <w:rPr>
          <w:rFonts w:ascii="Cambria" w:hAnsi="Cambria" w:cs="Arial"/>
          <w:sz w:val="24"/>
          <w:szCs w:val="24"/>
        </w:rPr>
        <w:t xml:space="preserve"> in other words that of undergr,</w:t>
      </w:r>
      <w:r w:rsidR="001755AC" w:rsidRPr="00486067">
        <w:rPr>
          <w:rFonts w:ascii="Cambria" w:hAnsi="Cambria" w:cs="Arial"/>
          <w:sz w:val="24"/>
          <w:szCs w:val="24"/>
        </w:rPr>
        <w:t>und water, for example the proliferation of car wash business / motorcycle without prior consent application, it is very worrying for the existence of ground water aquifers.</w:t>
      </w:r>
    </w:p>
    <w:p w:rsidR="001755AC" w:rsidRPr="00486067" w:rsidRDefault="001755AC" w:rsidP="00D24412">
      <w:pPr>
        <w:spacing w:before="120" w:after="120" w:line="240" w:lineRule="auto"/>
        <w:jc w:val="both"/>
        <w:rPr>
          <w:rFonts w:ascii="Cambria" w:hAnsi="Cambria" w:cs="Arial"/>
          <w:sz w:val="24"/>
          <w:szCs w:val="24"/>
        </w:rPr>
      </w:pPr>
      <w:r w:rsidRPr="00486067">
        <w:rPr>
          <w:rFonts w:ascii="Cambria" w:hAnsi="Cambria" w:cs="Arial"/>
          <w:sz w:val="24"/>
          <w:szCs w:val="24"/>
        </w:rPr>
        <w:t>State of water including underground water in Bekasi City has been degraded by poor water balance. It is necessary for business that emphasize it</w:t>
      </w:r>
      <w:r w:rsidR="002B58DB" w:rsidRPr="00486067">
        <w:rPr>
          <w:rFonts w:ascii="Cambria" w:hAnsi="Cambria" w:cs="Arial"/>
          <w:sz w:val="24"/>
          <w:szCs w:val="24"/>
        </w:rPr>
        <w:t xml:space="preserve">’s efforts on prevention because it is better than response after the impact. Underground water extraction by overpumping or excessive underground water extraction that safe yield deviverables have been </w:t>
      </w:r>
      <w:r w:rsidR="002B58DB" w:rsidRPr="00486067">
        <w:rPr>
          <w:rFonts w:ascii="Cambria" w:hAnsi="Cambria" w:cs="Arial"/>
          <w:sz w:val="24"/>
          <w:szCs w:val="24"/>
        </w:rPr>
        <w:lastRenderedPageBreak/>
        <w:t>proven to have a negative impact on the condition of underground water and the environment.</w:t>
      </w:r>
    </w:p>
    <w:p w:rsidR="002B58DB" w:rsidRPr="00486067" w:rsidRDefault="002B58DB" w:rsidP="00D24412">
      <w:pPr>
        <w:spacing w:before="120" w:after="120" w:line="240" w:lineRule="auto"/>
        <w:jc w:val="both"/>
        <w:rPr>
          <w:rFonts w:ascii="Cambria" w:hAnsi="Cambria" w:cs="Arial"/>
          <w:sz w:val="24"/>
          <w:szCs w:val="24"/>
        </w:rPr>
      </w:pPr>
      <w:r w:rsidRPr="00486067">
        <w:rPr>
          <w:rFonts w:ascii="Cambria" w:hAnsi="Cambria" w:cs="Arial"/>
          <w:sz w:val="24"/>
          <w:szCs w:val="24"/>
        </w:rPr>
        <w:t>Negative impact due to undergro</w:t>
      </w:r>
      <w:r w:rsidR="0077743E" w:rsidRPr="00486067">
        <w:rPr>
          <w:rFonts w:ascii="Cambria" w:hAnsi="Cambria" w:cs="Arial"/>
          <w:sz w:val="24"/>
          <w:szCs w:val="24"/>
        </w:rPr>
        <w:t>und water extraction that exces</w:t>
      </w:r>
      <w:r w:rsidRPr="00486067">
        <w:rPr>
          <w:rFonts w:ascii="Cambria" w:hAnsi="Cambria" w:cs="Arial"/>
          <w:sz w:val="24"/>
          <w:szCs w:val="24"/>
        </w:rPr>
        <w:t>ds safe deliverables starting with the decline of underground water quantity indicated by the decrease in ground water level. Continued to exceed safe limits ground water other advanced effects that may occur is the underground water quality degradation due to seawater instruction and ground water pollution, and land subsidence.</w:t>
      </w:r>
    </w:p>
    <w:p w:rsidR="0077743E" w:rsidRPr="00486067" w:rsidRDefault="000F2808" w:rsidP="00D24412">
      <w:pPr>
        <w:spacing w:before="80" w:after="80" w:line="240" w:lineRule="auto"/>
        <w:jc w:val="both"/>
        <w:rPr>
          <w:rFonts w:ascii="Cambria" w:hAnsi="Cambria" w:cs="Arial"/>
          <w:sz w:val="24"/>
          <w:szCs w:val="24"/>
          <w:lang w:val="id-ID"/>
        </w:rPr>
      </w:pPr>
      <w:r w:rsidRPr="00486067">
        <w:rPr>
          <w:rFonts w:ascii="Cambria" w:hAnsi="Cambria" w:cs="Arial"/>
          <w:sz w:val="24"/>
          <w:szCs w:val="24"/>
        </w:rPr>
        <w:t>E</w:t>
      </w:r>
      <w:r w:rsidR="002B58DB" w:rsidRPr="00486067">
        <w:rPr>
          <w:rFonts w:ascii="Cambria" w:hAnsi="Cambria" w:cs="Arial"/>
          <w:sz w:val="24"/>
          <w:szCs w:val="24"/>
        </w:rPr>
        <w:t>fforts to prevent the negative impact due to underground water extraction can be done with the use of underground water in  amount less than or equal to the safe limit underground water</w:t>
      </w:r>
      <w:r w:rsidRPr="00486067">
        <w:rPr>
          <w:rFonts w:ascii="Cambria" w:hAnsi="Cambria" w:cs="Arial"/>
          <w:sz w:val="24"/>
          <w:szCs w:val="24"/>
        </w:rPr>
        <w:t xml:space="preserve"> extraction, to achieve the targets utilization of underground water in a sustainable manner in accordance with their distribution, underground water should be reviewed as a non renewable resource. To minimize the negative impact of the use of underground water. Underground water development need to risk assessment, risk management. Risk analysis include underground water quantity while managing risk management include technical aspects and policy aspects.</w:t>
      </w:r>
    </w:p>
    <w:p w:rsidR="000F2808" w:rsidRPr="00486067" w:rsidRDefault="000F2808" w:rsidP="00D24412">
      <w:pPr>
        <w:spacing w:before="120" w:after="120" w:line="240" w:lineRule="auto"/>
        <w:jc w:val="both"/>
        <w:rPr>
          <w:rFonts w:ascii="Cambria" w:hAnsi="Cambria" w:cs="Arial"/>
          <w:sz w:val="24"/>
          <w:szCs w:val="24"/>
        </w:rPr>
      </w:pPr>
      <w:r w:rsidRPr="00486067">
        <w:rPr>
          <w:rFonts w:ascii="Cambria" w:hAnsi="Cambria" w:cs="Arial"/>
          <w:sz w:val="24"/>
          <w:szCs w:val="24"/>
        </w:rPr>
        <w:t>Givent the presence of underground water is incr</w:t>
      </w:r>
      <w:r w:rsidR="003C1ADF" w:rsidRPr="00486067">
        <w:rPr>
          <w:rFonts w:ascii="Cambria" w:hAnsi="Cambria" w:cs="Arial"/>
          <w:sz w:val="24"/>
          <w:szCs w:val="24"/>
        </w:rPr>
        <w:t>easingly worrying, Bekasi City G</w:t>
      </w:r>
      <w:r w:rsidRPr="00486067">
        <w:rPr>
          <w:rFonts w:ascii="Cambria" w:hAnsi="Cambria" w:cs="Arial"/>
          <w:sz w:val="24"/>
          <w:szCs w:val="24"/>
        </w:rPr>
        <w:t xml:space="preserve">overnment began directing industry and </w:t>
      </w:r>
      <w:r w:rsidR="007D126F" w:rsidRPr="00486067">
        <w:rPr>
          <w:rFonts w:ascii="Cambria" w:hAnsi="Cambria" w:cs="Arial"/>
          <w:sz w:val="24"/>
          <w:szCs w:val="24"/>
        </w:rPr>
        <w:t xml:space="preserve">local services to not rely on the use of underground water through the issuance of tax local regulation of ground water (Perda Pajak Air Tanah). This is more due to the </w:t>
      </w:r>
      <w:r w:rsidR="00EB3E3E" w:rsidRPr="00486067">
        <w:rPr>
          <w:rFonts w:ascii="Cambria" w:hAnsi="Cambria" w:cs="Arial"/>
          <w:sz w:val="24"/>
          <w:szCs w:val="24"/>
        </w:rPr>
        <w:t>condition of underground water Bekasi City is now entering</w:t>
      </w:r>
      <w:r w:rsidR="00DF41E5" w:rsidRPr="00486067">
        <w:rPr>
          <w:rFonts w:ascii="Cambria" w:hAnsi="Cambria" w:cs="Arial"/>
          <w:sz w:val="24"/>
          <w:szCs w:val="24"/>
        </w:rPr>
        <w:t xml:space="preserve"> the alarming level, following the high usage by the industries</w:t>
      </w:r>
      <w:r w:rsidR="00EB3E3E" w:rsidRPr="00486067">
        <w:rPr>
          <w:rFonts w:ascii="Cambria" w:hAnsi="Cambria" w:cs="Arial"/>
          <w:sz w:val="24"/>
          <w:szCs w:val="24"/>
        </w:rPr>
        <w:t xml:space="preserve"> / services and households. </w:t>
      </w:r>
    </w:p>
    <w:p w:rsidR="00252B5E" w:rsidRPr="00486067" w:rsidRDefault="00252B5E" w:rsidP="00D24412">
      <w:pPr>
        <w:spacing w:before="80" w:after="120" w:line="240" w:lineRule="auto"/>
        <w:jc w:val="both"/>
        <w:rPr>
          <w:rFonts w:ascii="Cambria" w:hAnsi="Cambria" w:cs="Arial"/>
          <w:sz w:val="24"/>
          <w:szCs w:val="24"/>
        </w:rPr>
      </w:pPr>
      <w:r w:rsidRPr="00486067">
        <w:rPr>
          <w:rFonts w:ascii="Cambria" w:hAnsi="Cambria" w:cs="Arial"/>
          <w:sz w:val="24"/>
          <w:szCs w:val="24"/>
        </w:rPr>
        <w:t>According to the head of the Bekasi City BPLHD local regulations on ground water tax that was passed December 2010 and is a form of control the use of underground water order to preserve environment ecosystem,.</w:t>
      </w:r>
    </w:p>
    <w:p w:rsidR="00252B5E" w:rsidRPr="00486067" w:rsidRDefault="00252B5E" w:rsidP="00D24412">
      <w:pPr>
        <w:spacing w:before="120" w:after="120" w:line="240" w:lineRule="auto"/>
        <w:jc w:val="both"/>
        <w:rPr>
          <w:rFonts w:ascii="Cambria" w:hAnsi="Cambria" w:cs="Arial"/>
          <w:sz w:val="24"/>
          <w:szCs w:val="24"/>
        </w:rPr>
      </w:pPr>
      <w:r w:rsidRPr="00486067">
        <w:rPr>
          <w:rFonts w:ascii="Cambria" w:hAnsi="Cambria" w:cs="Arial"/>
          <w:sz w:val="24"/>
          <w:szCs w:val="24"/>
        </w:rPr>
        <w:t>Plan to gradual reduction of the industry in taking the free of underground water for commercial purpose. Each industry are determined quota of ground water that may be used.</w:t>
      </w:r>
    </w:p>
    <w:p w:rsidR="0077743E" w:rsidRPr="00486067" w:rsidRDefault="00442FF4" w:rsidP="00D24412">
      <w:pPr>
        <w:spacing w:before="120" w:after="120" w:line="240" w:lineRule="auto"/>
        <w:jc w:val="both"/>
        <w:rPr>
          <w:rFonts w:ascii="Cambria" w:hAnsi="Cambria" w:cs="Arial"/>
          <w:sz w:val="24"/>
          <w:szCs w:val="24"/>
          <w:lang w:val="id-ID"/>
        </w:rPr>
      </w:pPr>
      <w:r w:rsidRPr="00486067">
        <w:rPr>
          <w:rFonts w:ascii="Cambria" w:hAnsi="Cambria" w:cs="Arial"/>
          <w:sz w:val="24"/>
          <w:szCs w:val="24"/>
        </w:rPr>
        <w:t>E</w:t>
      </w:r>
      <w:r w:rsidR="00252B5E" w:rsidRPr="00486067">
        <w:rPr>
          <w:rFonts w:ascii="Cambria" w:hAnsi="Cambria" w:cs="Arial"/>
          <w:sz w:val="24"/>
          <w:szCs w:val="24"/>
        </w:rPr>
        <w:t>ach</w:t>
      </w:r>
      <w:r w:rsidRPr="00486067">
        <w:rPr>
          <w:rFonts w:ascii="Cambria" w:hAnsi="Cambria" w:cs="Arial"/>
          <w:sz w:val="24"/>
          <w:szCs w:val="24"/>
        </w:rPr>
        <w:t xml:space="preserve"> year upon renewal of underground water use permit, quota will continue to be reduced until eventually exhausted and the industry can no longer use the underground water. When yhe use of underground water has excceded the specified quota, the excess water will be taxed. Goal for employers to think more wisely in financial expenses. </w:t>
      </w:r>
    </w:p>
    <w:p w:rsidR="00442FF4" w:rsidRPr="00486067" w:rsidRDefault="00442FF4" w:rsidP="00D24412">
      <w:pPr>
        <w:spacing w:before="120" w:after="120" w:line="240" w:lineRule="auto"/>
        <w:jc w:val="both"/>
        <w:rPr>
          <w:rFonts w:ascii="Cambria" w:hAnsi="Cambria" w:cs="Arial"/>
          <w:sz w:val="24"/>
          <w:szCs w:val="24"/>
        </w:rPr>
      </w:pPr>
      <w:r w:rsidRPr="00486067">
        <w:rPr>
          <w:rFonts w:ascii="Cambria" w:hAnsi="Cambria" w:cs="Arial"/>
          <w:sz w:val="24"/>
          <w:szCs w:val="24"/>
        </w:rPr>
        <w:t>Than the cost of the employer to pay the tax is high enough, the government purposely led induatrial / services to switch to the Local Water Company (PDAM).</w:t>
      </w:r>
    </w:p>
    <w:p w:rsidR="000B6CA0" w:rsidRPr="00486067" w:rsidRDefault="000B6CA0" w:rsidP="00D24412">
      <w:pPr>
        <w:spacing w:before="240" w:after="0" w:line="240" w:lineRule="auto"/>
        <w:rPr>
          <w:rFonts w:ascii="Cambria" w:hAnsi="Cambria" w:cs="Arial"/>
          <w:b/>
          <w:sz w:val="24"/>
          <w:szCs w:val="24"/>
        </w:rPr>
      </w:pPr>
      <w:r w:rsidRPr="00486067">
        <w:rPr>
          <w:rFonts w:ascii="Cambria" w:hAnsi="Cambria" w:cs="Arial"/>
          <w:b/>
          <w:sz w:val="24"/>
          <w:szCs w:val="24"/>
        </w:rPr>
        <w:t>CONCLUSIONS AND     RECOMMENDATIONS</w:t>
      </w:r>
    </w:p>
    <w:p w:rsidR="000E5DB3" w:rsidRPr="00486067" w:rsidRDefault="000B6CA0" w:rsidP="00D24412">
      <w:pPr>
        <w:spacing w:after="0" w:line="240" w:lineRule="auto"/>
        <w:jc w:val="both"/>
        <w:rPr>
          <w:rFonts w:ascii="Cambria" w:hAnsi="Cambria" w:cs="Arial"/>
          <w:b/>
          <w:sz w:val="24"/>
          <w:szCs w:val="24"/>
        </w:rPr>
      </w:pPr>
      <w:r w:rsidRPr="00486067">
        <w:rPr>
          <w:rFonts w:ascii="Cambria" w:hAnsi="Cambria" w:cs="Arial"/>
          <w:b/>
          <w:sz w:val="24"/>
          <w:szCs w:val="24"/>
        </w:rPr>
        <w:t>Conclusions</w:t>
      </w:r>
    </w:p>
    <w:p w:rsidR="00963F3C" w:rsidRPr="00486067" w:rsidRDefault="000B6CA0" w:rsidP="00D24412">
      <w:pPr>
        <w:spacing w:before="120" w:after="120" w:line="240" w:lineRule="auto"/>
        <w:jc w:val="both"/>
        <w:rPr>
          <w:rFonts w:ascii="Cambria" w:hAnsi="Cambria" w:cs="Arial"/>
          <w:sz w:val="24"/>
          <w:szCs w:val="24"/>
        </w:rPr>
      </w:pPr>
      <w:r w:rsidRPr="00486067">
        <w:rPr>
          <w:rFonts w:ascii="Cambria" w:hAnsi="Cambria" w:cs="Arial"/>
          <w:sz w:val="24"/>
          <w:szCs w:val="24"/>
        </w:rPr>
        <w:t>Based on the evaluation and discussion, it is concluded as follows : Local Regulation number 10 of 2002 has been implemented by the regions and communities, to futher improve people’s understanding of the policy should begin socialization deeper in order to understand every aspect and provide a good value.</w:t>
      </w:r>
    </w:p>
    <w:p w:rsidR="005A00C0" w:rsidRPr="00486067" w:rsidRDefault="005A00C0" w:rsidP="00D24412">
      <w:pPr>
        <w:spacing w:before="120" w:after="120" w:line="240" w:lineRule="auto"/>
        <w:jc w:val="both"/>
        <w:rPr>
          <w:rFonts w:ascii="Cambria" w:hAnsi="Cambria" w:cs="Arial"/>
          <w:sz w:val="24"/>
          <w:szCs w:val="24"/>
        </w:rPr>
      </w:pPr>
    </w:p>
    <w:p w:rsidR="005A00C0" w:rsidRPr="00486067" w:rsidRDefault="005A00C0" w:rsidP="00D24412">
      <w:pPr>
        <w:spacing w:before="120" w:after="120" w:line="240" w:lineRule="auto"/>
        <w:jc w:val="both"/>
        <w:rPr>
          <w:rFonts w:ascii="Cambria" w:hAnsi="Cambria" w:cs="Arial"/>
          <w:sz w:val="24"/>
          <w:szCs w:val="24"/>
        </w:rPr>
      </w:pPr>
    </w:p>
    <w:p w:rsidR="000E5DB3" w:rsidRPr="00486067" w:rsidRDefault="000B6CA0" w:rsidP="00D24412">
      <w:pPr>
        <w:spacing w:before="120" w:after="120" w:line="240" w:lineRule="auto"/>
        <w:jc w:val="both"/>
        <w:rPr>
          <w:rFonts w:ascii="Cambria" w:hAnsi="Cambria" w:cs="Arial"/>
          <w:b/>
          <w:sz w:val="24"/>
          <w:szCs w:val="24"/>
        </w:rPr>
      </w:pPr>
      <w:r w:rsidRPr="00486067">
        <w:rPr>
          <w:rFonts w:ascii="Cambria" w:hAnsi="Cambria" w:cs="Arial"/>
          <w:b/>
          <w:sz w:val="24"/>
          <w:szCs w:val="24"/>
        </w:rPr>
        <w:t xml:space="preserve"> Recommendation</w:t>
      </w:r>
      <w:r w:rsidR="00136AB9" w:rsidRPr="00486067">
        <w:rPr>
          <w:rFonts w:ascii="Cambria" w:hAnsi="Cambria" w:cs="Arial"/>
          <w:b/>
          <w:sz w:val="24"/>
          <w:szCs w:val="24"/>
        </w:rPr>
        <w:t>s</w:t>
      </w:r>
    </w:p>
    <w:p w:rsidR="000B6CA0" w:rsidRPr="00486067" w:rsidRDefault="000B6CA0" w:rsidP="00D24412">
      <w:pPr>
        <w:pStyle w:val="ListParagraph"/>
        <w:numPr>
          <w:ilvl w:val="0"/>
          <w:numId w:val="1"/>
        </w:numPr>
        <w:spacing w:before="120" w:after="120" w:line="240" w:lineRule="auto"/>
        <w:ind w:left="284" w:hanging="284"/>
        <w:contextualSpacing w:val="0"/>
        <w:jc w:val="both"/>
        <w:rPr>
          <w:rFonts w:ascii="Cambria" w:hAnsi="Cambria" w:cs="Arial"/>
          <w:sz w:val="24"/>
          <w:szCs w:val="24"/>
        </w:rPr>
      </w:pPr>
      <w:r w:rsidRPr="00486067">
        <w:rPr>
          <w:rFonts w:ascii="Cambria" w:hAnsi="Cambria" w:cs="Arial"/>
          <w:sz w:val="24"/>
          <w:szCs w:val="24"/>
        </w:rPr>
        <w:t xml:space="preserve">The industry can maintain the ecological balance of water resources </w:t>
      </w:r>
      <w:r w:rsidRPr="00486067">
        <w:rPr>
          <w:rFonts w:ascii="Cambria" w:hAnsi="Cambria" w:cs="Arial"/>
          <w:sz w:val="24"/>
          <w:szCs w:val="24"/>
        </w:rPr>
        <w:lastRenderedPageBreak/>
        <w:t>so that the quality and quantity of ground water to stay awake.</w:t>
      </w:r>
    </w:p>
    <w:p w:rsidR="000B6CA0" w:rsidRPr="00486067" w:rsidRDefault="000B6CA0" w:rsidP="00D24412">
      <w:pPr>
        <w:pStyle w:val="ListParagraph"/>
        <w:numPr>
          <w:ilvl w:val="0"/>
          <w:numId w:val="1"/>
        </w:numPr>
        <w:spacing w:line="240" w:lineRule="auto"/>
        <w:ind w:left="284" w:hanging="284"/>
        <w:jc w:val="both"/>
        <w:rPr>
          <w:rFonts w:ascii="Cambria" w:hAnsi="Cambria" w:cs="Arial"/>
          <w:sz w:val="24"/>
          <w:szCs w:val="24"/>
        </w:rPr>
      </w:pPr>
      <w:r w:rsidRPr="00486067">
        <w:rPr>
          <w:rFonts w:ascii="Cambria" w:hAnsi="Cambria" w:cs="Arial"/>
          <w:sz w:val="24"/>
          <w:szCs w:val="24"/>
        </w:rPr>
        <w:t>Which aim to preserve the environment, need to involve the public would know better the imprortance of conservation of water resource.</w:t>
      </w:r>
    </w:p>
    <w:p w:rsidR="000B6CA0" w:rsidRPr="00486067" w:rsidRDefault="000B6CA0" w:rsidP="00D24412">
      <w:pPr>
        <w:pStyle w:val="ListParagraph"/>
        <w:numPr>
          <w:ilvl w:val="0"/>
          <w:numId w:val="1"/>
        </w:numPr>
        <w:spacing w:line="240" w:lineRule="auto"/>
        <w:ind w:left="284" w:hanging="284"/>
        <w:jc w:val="both"/>
        <w:rPr>
          <w:rFonts w:ascii="Cambria" w:hAnsi="Cambria" w:cs="Arial"/>
          <w:sz w:val="24"/>
          <w:szCs w:val="24"/>
        </w:rPr>
      </w:pPr>
      <w:r w:rsidRPr="00486067">
        <w:rPr>
          <w:rFonts w:ascii="Cambria" w:hAnsi="Cambria" w:cs="Arial"/>
          <w:sz w:val="24"/>
          <w:szCs w:val="24"/>
        </w:rPr>
        <w:t>Policies can communicate between the organizer and the executive, so that existing policies</w:t>
      </w:r>
      <w:r w:rsidR="008C6CCF" w:rsidRPr="00486067">
        <w:rPr>
          <w:rFonts w:ascii="Cambria" w:hAnsi="Cambria" w:cs="Arial"/>
          <w:sz w:val="24"/>
          <w:szCs w:val="24"/>
        </w:rPr>
        <w:t xml:space="preserve"> can be implemented academic study properly.</w:t>
      </w:r>
    </w:p>
    <w:p w:rsidR="0079398C" w:rsidRPr="00486067" w:rsidRDefault="008C6CCF" w:rsidP="00D24412">
      <w:pPr>
        <w:pStyle w:val="ListParagraph"/>
        <w:numPr>
          <w:ilvl w:val="0"/>
          <w:numId w:val="1"/>
        </w:numPr>
        <w:spacing w:line="240" w:lineRule="auto"/>
        <w:ind w:left="284" w:hanging="270"/>
        <w:jc w:val="both"/>
        <w:rPr>
          <w:rFonts w:ascii="Cambria" w:hAnsi="Cambria" w:cs="Arial"/>
          <w:sz w:val="24"/>
          <w:szCs w:val="24"/>
        </w:rPr>
      </w:pPr>
      <w:r w:rsidRPr="00486067">
        <w:rPr>
          <w:rFonts w:ascii="Cambria" w:hAnsi="Cambria" w:cs="Arial"/>
          <w:sz w:val="24"/>
          <w:szCs w:val="24"/>
        </w:rPr>
        <w:t>Necessary institutional organization helped arrange the order management and utilization of underground water.</w:t>
      </w:r>
    </w:p>
    <w:p w:rsidR="008C6CCF" w:rsidRPr="00486067" w:rsidRDefault="008C6CCF" w:rsidP="00D24412">
      <w:pPr>
        <w:pStyle w:val="ListParagraph"/>
        <w:numPr>
          <w:ilvl w:val="0"/>
          <w:numId w:val="1"/>
        </w:numPr>
        <w:spacing w:after="240" w:line="240" w:lineRule="auto"/>
        <w:ind w:left="283" w:hanging="272"/>
        <w:contextualSpacing w:val="0"/>
        <w:jc w:val="both"/>
        <w:rPr>
          <w:rFonts w:ascii="Cambria" w:hAnsi="Cambria" w:cs="Arial"/>
          <w:sz w:val="24"/>
          <w:szCs w:val="24"/>
        </w:rPr>
      </w:pPr>
      <w:r w:rsidRPr="00486067">
        <w:rPr>
          <w:rFonts w:ascii="Cambria" w:hAnsi="Cambria" w:cs="Arial"/>
          <w:sz w:val="24"/>
          <w:szCs w:val="24"/>
        </w:rPr>
        <w:t>There needs to be an academic study to revise and refine the Local Regulation No 10 of 2002 concerning the management of underground water.</w:t>
      </w:r>
    </w:p>
    <w:p w:rsidR="00F200C2" w:rsidRPr="00486067" w:rsidRDefault="002A2A77" w:rsidP="00D24412">
      <w:pPr>
        <w:pStyle w:val="ListParagraph"/>
        <w:spacing w:after="0" w:line="240" w:lineRule="auto"/>
        <w:ind w:hanging="539"/>
        <w:contextualSpacing w:val="0"/>
        <w:jc w:val="both"/>
        <w:rPr>
          <w:rFonts w:ascii="Cambria" w:hAnsi="Cambria" w:cs="Arial"/>
          <w:b/>
          <w:sz w:val="24"/>
          <w:szCs w:val="24"/>
          <w:lang w:val="id-ID"/>
        </w:rPr>
      </w:pPr>
      <w:r w:rsidRPr="00486067">
        <w:rPr>
          <w:rFonts w:ascii="Cambria" w:hAnsi="Cambria" w:cs="Arial"/>
          <w:b/>
          <w:sz w:val="24"/>
          <w:szCs w:val="24"/>
        </w:rPr>
        <w:t>REFEERENS</w:t>
      </w:r>
    </w:p>
    <w:p w:rsidR="00F200C2" w:rsidRPr="00486067" w:rsidRDefault="00F200C2" w:rsidP="00D24412">
      <w:pPr>
        <w:pStyle w:val="FootnoteText"/>
        <w:spacing w:after="120"/>
        <w:ind w:left="538" w:hanging="538"/>
        <w:jc w:val="both"/>
        <w:rPr>
          <w:rFonts w:ascii="Cambria" w:hAnsi="Cambria" w:cs="Arial"/>
          <w:sz w:val="24"/>
          <w:szCs w:val="24"/>
          <w:lang w:val="id-ID"/>
        </w:rPr>
      </w:pPr>
      <w:r w:rsidRPr="00486067">
        <w:rPr>
          <w:rFonts w:ascii="Cambria" w:hAnsi="Cambria" w:cs="Arial"/>
          <w:sz w:val="24"/>
          <w:szCs w:val="24"/>
        </w:rPr>
        <w:t xml:space="preserve">Anonymus, </w:t>
      </w:r>
      <w:r w:rsidRPr="00486067">
        <w:rPr>
          <w:rFonts w:ascii="Cambria" w:hAnsi="Cambria" w:cs="Arial"/>
          <w:i/>
          <w:sz w:val="24"/>
          <w:szCs w:val="24"/>
        </w:rPr>
        <w:t>Laporan Bank Dunia</w:t>
      </w:r>
      <w:r w:rsidRPr="00486067">
        <w:rPr>
          <w:rFonts w:ascii="Cambria" w:hAnsi="Cambria" w:cs="Arial"/>
          <w:sz w:val="24"/>
          <w:szCs w:val="24"/>
        </w:rPr>
        <w:t xml:space="preserve">, </w:t>
      </w:r>
      <w:r w:rsidRPr="00486067">
        <w:rPr>
          <w:rFonts w:ascii="Cambria" w:eastAsia="Times New Roman" w:hAnsi="Cambria" w:cs="Arial"/>
          <w:i/>
          <w:iCs/>
          <w:sz w:val="24"/>
          <w:szCs w:val="24"/>
        </w:rPr>
        <w:t>Enabling Water Utilities to Serve the Urban  Poor</w:t>
      </w:r>
      <w:r w:rsidRPr="00486067">
        <w:rPr>
          <w:rFonts w:ascii="Cambria" w:hAnsi="Cambria" w:cs="Arial"/>
          <w:sz w:val="24"/>
          <w:szCs w:val="24"/>
        </w:rPr>
        <w:t>,  2006.</w:t>
      </w:r>
    </w:p>
    <w:p w:rsidR="00F200C2" w:rsidRPr="00486067" w:rsidRDefault="00F200C2" w:rsidP="00D24412">
      <w:pPr>
        <w:pStyle w:val="ListParagraph"/>
        <w:spacing w:after="120" w:line="240" w:lineRule="auto"/>
        <w:ind w:left="567" w:hanging="538"/>
        <w:jc w:val="both"/>
        <w:rPr>
          <w:rFonts w:ascii="Cambria" w:hAnsi="Cambria" w:cs="Arial"/>
          <w:sz w:val="24"/>
          <w:szCs w:val="24"/>
        </w:rPr>
      </w:pPr>
      <w:r w:rsidRPr="00486067">
        <w:rPr>
          <w:rFonts w:ascii="Cambria" w:hAnsi="Cambria" w:cs="Arial"/>
          <w:sz w:val="24"/>
          <w:szCs w:val="24"/>
        </w:rPr>
        <w:t xml:space="preserve">Anderson, James E.,Public Policy Making, Houghton Mifflin : Boston , 2000 </w:t>
      </w:r>
    </w:p>
    <w:p w:rsidR="00583FFA" w:rsidRPr="00486067" w:rsidRDefault="00583FFA" w:rsidP="00D24412">
      <w:pPr>
        <w:spacing w:after="120" w:line="240" w:lineRule="auto"/>
        <w:ind w:left="540" w:hanging="538"/>
        <w:jc w:val="both"/>
        <w:rPr>
          <w:rFonts w:ascii="Cambria" w:hAnsi="Cambria" w:cs="Arial"/>
          <w:b/>
          <w:sz w:val="24"/>
          <w:szCs w:val="24"/>
        </w:rPr>
      </w:pPr>
      <w:r w:rsidRPr="00486067">
        <w:rPr>
          <w:rFonts w:ascii="Cambria" w:hAnsi="Cambria" w:cs="Arial"/>
          <w:sz w:val="24"/>
          <w:szCs w:val="24"/>
        </w:rPr>
        <w:t xml:space="preserve">Arsyad Sitanala,  </w:t>
      </w:r>
      <w:r w:rsidRPr="00486067">
        <w:rPr>
          <w:rFonts w:ascii="Cambria" w:hAnsi="Cambria" w:cs="Arial"/>
          <w:i/>
          <w:sz w:val="24"/>
          <w:szCs w:val="24"/>
        </w:rPr>
        <w:t>Konservasi Tanah dan Air</w:t>
      </w:r>
      <w:r w:rsidRPr="00486067">
        <w:rPr>
          <w:rFonts w:ascii="Cambria" w:hAnsi="Cambria" w:cs="Arial"/>
          <w:sz w:val="24"/>
          <w:szCs w:val="24"/>
        </w:rPr>
        <w:t>, IPB Press : Bogor, 2009</w:t>
      </w:r>
    </w:p>
    <w:p w:rsidR="00583FFA" w:rsidRPr="00486067" w:rsidRDefault="00583FFA" w:rsidP="00D24412">
      <w:pPr>
        <w:pStyle w:val="FootnoteText"/>
        <w:spacing w:after="120"/>
        <w:ind w:left="540" w:hanging="538"/>
        <w:jc w:val="both"/>
        <w:rPr>
          <w:rFonts w:ascii="Cambria" w:hAnsi="Cambria" w:cs="Arial"/>
          <w:sz w:val="24"/>
          <w:szCs w:val="24"/>
        </w:rPr>
      </w:pPr>
      <w:r w:rsidRPr="00486067">
        <w:rPr>
          <w:rFonts w:ascii="Cambria" w:hAnsi="Cambria" w:cs="Arial"/>
          <w:sz w:val="24"/>
          <w:szCs w:val="24"/>
        </w:rPr>
        <w:t xml:space="preserve">Djanius Djamin, </w:t>
      </w:r>
      <w:r w:rsidRPr="00486067">
        <w:rPr>
          <w:rFonts w:ascii="Cambria" w:hAnsi="Cambria" w:cs="Arial"/>
          <w:i/>
          <w:sz w:val="24"/>
          <w:szCs w:val="24"/>
        </w:rPr>
        <w:t>Pengawasan dan Pelaksanaan Undang-Undang           Lingkungan Hidup</w:t>
      </w:r>
      <w:r w:rsidRPr="00486067">
        <w:rPr>
          <w:rFonts w:ascii="Cambria" w:hAnsi="Cambria" w:cs="Arial"/>
          <w:sz w:val="24"/>
          <w:szCs w:val="24"/>
        </w:rPr>
        <w:t xml:space="preserve"> ,  Jakarta, 2007 </w:t>
      </w:r>
    </w:p>
    <w:p w:rsidR="00583FFA" w:rsidRPr="00486067" w:rsidRDefault="00583FFA" w:rsidP="00D24412">
      <w:pPr>
        <w:spacing w:after="120" w:line="240" w:lineRule="auto"/>
        <w:ind w:left="540" w:hanging="538"/>
        <w:jc w:val="both"/>
        <w:rPr>
          <w:rFonts w:ascii="Cambria" w:hAnsi="Cambria" w:cs="Arial"/>
          <w:sz w:val="24"/>
          <w:szCs w:val="24"/>
        </w:rPr>
      </w:pPr>
      <w:r w:rsidRPr="00486067">
        <w:rPr>
          <w:rFonts w:ascii="Cambria" w:hAnsi="Cambria" w:cs="Arial"/>
          <w:sz w:val="24"/>
          <w:szCs w:val="24"/>
        </w:rPr>
        <w:t xml:space="preserve">Dunn, N. William., </w:t>
      </w:r>
      <w:r w:rsidRPr="00486067">
        <w:rPr>
          <w:rFonts w:ascii="Cambria" w:hAnsi="Cambria" w:cs="Arial"/>
          <w:i/>
          <w:sz w:val="24"/>
          <w:szCs w:val="24"/>
        </w:rPr>
        <w:t>Pengantar Analisis Kebijakan Publik</w:t>
      </w:r>
      <w:r w:rsidRPr="00486067">
        <w:rPr>
          <w:rFonts w:ascii="Cambria" w:hAnsi="Cambria" w:cs="Arial"/>
          <w:sz w:val="24"/>
          <w:szCs w:val="24"/>
        </w:rPr>
        <w:t>, Terjemahan            Samodra Wibawa, dkk. Gajah Mada University Pr</w:t>
      </w:r>
      <w:r w:rsidR="00DC3BE6" w:rsidRPr="00486067">
        <w:rPr>
          <w:rFonts w:ascii="Cambria" w:hAnsi="Cambria" w:cs="Arial"/>
          <w:sz w:val="24"/>
          <w:szCs w:val="24"/>
        </w:rPr>
        <w:t>ess: Yogyakarta,            2004</w:t>
      </w:r>
      <w:r w:rsidRPr="00486067">
        <w:rPr>
          <w:rFonts w:ascii="Cambria" w:hAnsi="Cambria" w:cs="Arial"/>
          <w:sz w:val="24"/>
          <w:szCs w:val="24"/>
        </w:rPr>
        <w:t xml:space="preserve">. </w:t>
      </w:r>
    </w:p>
    <w:p w:rsidR="0074380F" w:rsidRPr="00486067" w:rsidRDefault="0074380F" w:rsidP="00D24412">
      <w:pPr>
        <w:spacing w:after="120" w:line="240" w:lineRule="auto"/>
        <w:ind w:left="540" w:hanging="538"/>
        <w:jc w:val="both"/>
        <w:rPr>
          <w:rFonts w:ascii="Cambria" w:hAnsi="Cambria" w:cs="Arial"/>
          <w:sz w:val="24"/>
          <w:szCs w:val="24"/>
        </w:rPr>
      </w:pPr>
      <w:r w:rsidRPr="00486067">
        <w:rPr>
          <w:rFonts w:ascii="Cambria" w:hAnsi="Cambria" w:cs="Arial"/>
          <w:sz w:val="24"/>
          <w:szCs w:val="24"/>
        </w:rPr>
        <w:t xml:space="preserve">Eugene, Odum, </w:t>
      </w:r>
      <w:r w:rsidRPr="00486067">
        <w:rPr>
          <w:rFonts w:ascii="Cambria" w:hAnsi="Cambria" w:cs="Arial"/>
          <w:i/>
          <w:sz w:val="24"/>
          <w:szCs w:val="24"/>
        </w:rPr>
        <w:t>Basic Ecology</w:t>
      </w:r>
      <w:r w:rsidRPr="00486067">
        <w:rPr>
          <w:rFonts w:ascii="Cambria" w:hAnsi="Cambria" w:cs="Arial"/>
          <w:sz w:val="24"/>
          <w:szCs w:val="24"/>
        </w:rPr>
        <w:t>, Saunders College Publishing: Texax, 1983</w:t>
      </w:r>
    </w:p>
    <w:p w:rsidR="00984BC0" w:rsidRPr="00486067" w:rsidRDefault="00984BC0" w:rsidP="00D24412">
      <w:pPr>
        <w:spacing w:after="120" w:line="240" w:lineRule="auto"/>
        <w:ind w:left="540" w:hanging="538"/>
        <w:jc w:val="both"/>
        <w:rPr>
          <w:rFonts w:ascii="Cambria" w:hAnsi="Cambria" w:cs="Arial"/>
          <w:sz w:val="24"/>
          <w:szCs w:val="24"/>
        </w:rPr>
      </w:pPr>
      <w:r w:rsidRPr="00486067">
        <w:rPr>
          <w:rFonts w:ascii="Cambria" w:hAnsi="Cambria" w:cs="Arial"/>
          <w:sz w:val="24"/>
          <w:szCs w:val="24"/>
        </w:rPr>
        <w:t xml:space="preserve">Howlett, Michael dan Ramesh, </w:t>
      </w:r>
      <w:r w:rsidRPr="00486067">
        <w:rPr>
          <w:rFonts w:ascii="Cambria" w:hAnsi="Cambria" w:cs="Arial"/>
          <w:i/>
          <w:sz w:val="24"/>
          <w:szCs w:val="24"/>
        </w:rPr>
        <w:t>Studying Public Policy: Policy Cycles and Policy Subsystem</w:t>
      </w:r>
      <w:r w:rsidRPr="00486067">
        <w:rPr>
          <w:rFonts w:ascii="Cambria" w:hAnsi="Cambria" w:cs="Arial"/>
          <w:sz w:val="24"/>
          <w:szCs w:val="24"/>
        </w:rPr>
        <w:t>, Oxford University Press</w:t>
      </w:r>
      <w:r w:rsidR="00F200C2" w:rsidRPr="00486067">
        <w:rPr>
          <w:rFonts w:ascii="Cambria" w:hAnsi="Cambria" w:cs="Arial"/>
          <w:sz w:val="24"/>
          <w:szCs w:val="24"/>
        </w:rPr>
        <w:t xml:space="preserve"> : Oxford</w:t>
      </w:r>
      <w:r w:rsidRPr="00486067">
        <w:rPr>
          <w:rFonts w:ascii="Cambria" w:hAnsi="Cambria" w:cs="Arial"/>
          <w:sz w:val="24"/>
          <w:szCs w:val="24"/>
        </w:rPr>
        <w:t xml:space="preserve">, 1995.  </w:t>
      </w:r>
    </w:p>
    <w:p w:rsidR="001369AC" w:rsidRPr="00486067" w:rsidRDefault="001369AC" w:rsidP="00D24412">
      <w:pPr>
        <w:pStyle w:val="ListParagraph"/>
        <w:spacing w:after="120" w:line="240" w:lineRule="auto"/>
        <w:ind w:left="540" w:hanging="540"/>
        <w:contextualSpacing w:val="0"/>
        <w:jc w:val="both"/>
        <w:rPr>
          <w:rFonts w:ascii="Cambria" w:hAnsi="Cambria" w:cs="Arial"/>
          <w:sz w:val="24"/>
          <w:szCs w:val="24"/>
        </w:rPr>
      </w:pPr>
      <w:r w:rsidRPr="00486067">
        <w:rPr>
          <w:rFonts w:ascii="Cambria" w:hAnsi="Cambria" w:cs="Arial"/>
          <w:sz w:val="24"/>
          <w:szCs w:val="24"/>
        </w:rPr>
        <w:t>Irwan Djamal Zoer’aini,</w:t>
      </w:r>
      <w:r w:rsidRPr="00486067">
        <w:rPr>
          <w:rFonts w:ascii="Cambria" w:hAnsi="Cambria" w:cs="Arial"/>
          <w:i/>
          <w:sz w:val="24"/>
          <w:szCs w:val="24"/>
        </w:rPr>
        <w:t xml:space="preserve">Prinsip-Prinsip Ekologi, Ekosistem, Lingkungan dan       </w:t>
      </w:r>
      <w:r w:rsidRPr="00486067">
        <w:rPr>
          <w:rFonts w:ascii="Cambria" w:hAnsi="Cambria" w:cs="Arial"/>
          <w:i/>
          <w:sz w:val="24"/>
          <w:szCs w:val="24"/>
        </w:rPr>
        <w:t>Pelestariannya.</w:t>
      </w:r>
      <w:r w:rsidRPr="00486067">
        <w:rPr>
          <w:rFonts w:ascii="Cambria" w:hAnsi="Cambria" w:cs="Arial"/>
          <w:sz w:val="24"/>
          <w:szCs w:val="24"/>
        </w:rPr>
        <w:t xml:space="preserve"> Bumi Aksara: Jakarta, 2007.</w:t>
      </w:r>
    </w:p>
    <w:p w:rsidR="001369AC" w:rsidRPr="00486067" w:rsidRDefault="001369AC" w:rsidP="00D24412">
      <w:pPr>
        <w:pStyle w:val="FootnoteText"/>
        <w:spacing w:after="120"/>
        <w:ind w:left="612" w:hanging="540"/>
        <w:jc w:val="both"/>
        <w:rPr>
          <w:rFonts w:ascii="Cambria" w:hAnsi="Cambria" w:cs="Arial"/>
          <w:sz w:val="24"/>
          <w:szCs w:val="24"/>
        </w:rPr>
      </w:pPr>
      <w:r w:rsidRPr="00486067">
        <w:rPr>
          <w:rFonts w:ascii="Cambria" w:hAnsi="Cambria" w:cs="Arial"/>
          <w:sz w:val="24"/>
          <w:szCs w:val="24"/>
        </w:rPr>
        <w:t xml:space="preserve">Kodoatie Robert J., </w:t>
      </w:r>
      <w:r w:rsidRPr="00486067">
        <w:rPr>
          <w:rFonts w:ascii="Cambria" w:hAnsi="Cambria" w:cs="Arial"/>
          <w:i/>
          <w:sz w:val="24"/>
          <w:szCs w:val="24"/>
        </w:rPr>
        <w:t>Pengelolaan Sumber Daya Air dalam Otonomi Daerah</w:t>
      </w:r>
      <w:r w:rsidRPr="00486067">
        <w:rPr>
          <w:rFonts w:ascii="Cambria" w:hAnsi="Cambria" w:cs="Arial"/>
          <w:sz w:val="24"/>
          <w:szCs w:val="24"/>
        </w:rPr>
        <w:t xml:space="preserve">, ANDI: Yogyakarta, 2002. </w:t>
      </w:r>
    </w:p>
    <w:p w:rsidR="001369AC" w:rsidRPr="00486067" w:rsidRDefault="001369AC" w:rsidP="00D24412">
      <w:pPr>
        <w:pStyle w:val="FootnoteText"/>
        <w:spacing w:after="120"/>
        <w:ind w:left="612" w:hanging="540"/>
        <w:jc w:val="both"/>
        <w:rPr>
          <w:rFonts w:ascii="Cambria" w:hAnsi="Cambria" w:cs="Arial"/>
          <w:sz w:val="24"/>
          <w:szCs w:val="24"/>
          <w:lang w:val="id-ID"/>
        </w:rPr>
      </w:pPr>
      <w:r w:rsidRPr="00486067">
        <w:rPr>
          <w:rFonts w:ascii="Cambria" w:hAnsi="Cambria" w:cs="Arial"/>
          <w:sz w:val="24"/>
          <w:szCs w:val="24"/>
        </w:rPr>
        <w:t xml:space="preserve">------------------------, </w:t>
      </w:r>
      <w:r w:rsidRPr="00486067">
        <w:rPr>
          <w:rFonts w:ascii="Cambria" w:hAnsi="Cambria" w:cs="Arial"/>
          <w:i/>
          <w:sz w:val="24"/>
          <w:szCs w:val="24"/>
        </w:rPr>
        <w:t>Tata Ruang Air</w:t>
      </w:r>
      <w:r w:rsidRPr="00486067">
        <w:rPr>
          <w:rFonts w:ascii="Cambria" w:hAnsi="Cambria" w:cs="Arial"/>
          <w:sz w:val="24"/>
          <w:szCs w:val="24"/>
        </w:rPr>
        <w:t>, ANDI, Yogyakarta, 2010</w:t>
      </w:r>
    </w:p>
    <w:p w:rsidR="001369AC" w:rsidRPr="00486067" w:rsidRDefault="001369AC" w:rsidP="00D24412">
      <w:pPr>
        <w:pStyle w:val="FootnoteText"/>
        <w:spacing w:after="120"/>
        <w:ind w:left="612" w:hanging="540"/>
        <w:jc w:val="both"/>
        <w:rPr>
          <w:rFonts w:ascii="Cambria" w:hAnsi="Cambria" w:cs="Arial"/>
          <w:sz w:val="24"/>
          <w:szCs w:val="24"/>
        </w:rPr>
      </w:pPr>
      <w:r w:rsidRPr="00486067">
        <w:rPr>
          <w:rFonts w:ascii="Cambria" w:hAnsi="Cambria" w:cs="Arial"/>
          <w:sz w:val="24"/>
          <w:szCs w:val="24"/>
        </w:rPr>
        <w:t xml:space="preserve">Mazmanian D, &amp; P. Sabatier, </w:t>
      </w:r>
      <w:r w:rsidRPr="00486067">
        <w:rPr>
          <w:rFonts w:ascii="Cambria" w:hAnsi="Cambria" w:cs="Arial"/>
          <w:i/>
          <w:sz w:val="24"/>
          <w:szCs w:val="24"/>
        </w:rPr>
        <w:t>Implementation and Public Policy</w:t>
      </w:r>
      <w:r w:rsidRPr="00486067">
        <w:rPr>
          <w:rFonts w:ascii="Cambria" w:hAnsi="Cambria" w:cs="Arial"/>
          <w:sz w:val="24"/>
          <w:szCs w:val="24"/>
        </w:rPr>
        <w:t>,  Harper Collins:    New York , 1983</w:t>
      </w:r>
    </w:p>
    <w:p w:rsidR="001369AC" w:rsidRPr="00486067" w:rsidRDefault="001369AC" w:rsidP="00D24412">
      <w:pPr>
        <w:pStyle w:val="ListParagraph"/>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Majchrzak, Ann, </w:t>
      </w:r>
      <w:r w:rsidRPr="00486067">
        <w:rPr>
          <w:rFonts w:ascii="Cambria" w:hAnsi="Cambria" w:cs="Arial"/>
          <w:i/>
          <w:sz w:val="24"/>
          <w:szCs w:val="24"/>
        </w:rPr>
        <w:t>Methods  for Policy Research</w:t>
      </w:r>
      <w:r w:rsidRPr="00486067">
        <w:rPr>
          <w:rFonts w:ascii="Cambria" w:hAnsi="Cambria" w:cs="Arial"/>
          <w:sz w:val="24"/>
          <w:szCs w:val="24"/>
        </w:rPr>
        <w:t>, SAGE Publications:          California,  1984.</w:t>
      </w:r>
      <w:r w:rsidRPr="00486067">
        <w:rPr>
          <w:rFonts w:ascii="Cambria" w:hAnsi="Cambria" w:cs="Arial"/>
          <w:sz w:val="24"/>
          <w:szCs w:val="24"/>
        </w:rPr>
        <w:tab/>
      </w:r>
    </w:p>
    <w:p w:rsidR="001369AC" w:rsidRPr="00486067" w:rsidRDefault="001369AC" w:rsidP="00D24412">
      <w:pPr>
        <w:pStyle w:val="ListParagraph"/>
        <w:tabs>
          <w:tab w:val="left" w:pos="7980"/>
        </w:tabs>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Nugroho Riant, </w:t>
      </w:r>
      <w:r w:rsidRPr="00486067">
        <w:rPr>
          <w:rFonts w:ascii="Cambria" w:hAnsi="Cambria" w:cs="Arial"/>
          <w:i/>
          <w:sz w:val="24"/>
          <w:szCs w:val="24"/>
        </w:rPr>
        <w:t>Public Policy</w:t>
      </w:r>
      <w:r w:rsidRPr="00486067">
        <w:rPr>
          <w:rFonts w:ascii="Cambria" w:hAnsi="Cambria" w:cs="Arial"/>
          <w:sz w:val="24"/>
          <w:szCs w:val="24"/>
        </w:rPr>
        <w:t>, Elex Media Komputindo: Jakarta, 2009.</w:t>
      </w:r>
    </w:p>
    <w:p w:rsidR="001369AC" w:rsidRPr="00486067" w:rsidRDefault="001369AC" w:rsidP="00D24412">
      <w:pPr>
        <w:pStyle w:val="ListParagraph"/>
        <w:tabs>
          <w:tab w:val="left" w:pos="7980"/>
        </w:tabs>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Osmar, Mungkasa, </w:t>
      </w:r>
      <w:r w:rsidRPr="00486067">
        <w:rPr>
          <w:rFonts w:ascii="Cambria" w:hAnsi="Cambria" w:cs="Arial"/>
          <w:i/>
          <w:sz w:val="24"/>
          <w:szCs w:val="24"/>
        </w:rPr>
        <w:t>Pembangunan Air Minum dan Pembangunan</w:t>
      </w:r>
      <w:r w:rsidRPr="00486067">
        <w:rPr>
          <w:rFonts w:ascii="Cambria" w:hAnsi="Cambria" w:cs="Arial"/>
          <w:sz w:val="24"/>
          <w:szCs w:val="24"/>
        </w:rPr>
        <w:t>; Jurnal           Percik, Edisi Oktober</w:t>
      </w:r>
      <w:r w:rsidR="004E1A20" w:rsidRPr="00486067">
        <w:rPr>
          <w:rFonts w:ascii="Cambria" w:hAnsi="Cambria" w:cs="Arial"/>
          <w:sz w:val="24"/>
          <w:szCs w:val="24"/>
        </w:rPr>
        <w:t xml:space="preserve">, </w:t>
      </w:r>
      <w:r w:rsidRPr="00486067">
        <w:rPr>
          <w:rFonts w:ascii="Cambria" w:hAnsi="Cambria" w:cs="Arial"/>
          <w:sz w:val="24"/>
          <w:szCs w:val="24"/>
        </w:rPr>
        <w:t xml:space="preserve"> 2006</w:t>
      </w:r>
    </w:p>
    <w:p w:rsidR="004E1A20" w:rsidRPr="00486067" w:rsidRDefault="004E1A20" w:rsidP="00D24412">
      <w:pPr>
        <w:pStyle w:val="ListParagraph"/>
        <w:tabs>
          <w:tab w:val="left" w:pos="7980"/>
        </w:tabs>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Patton, Carl V., dan D. Savicky, </w:t>
      </w:r>
      <w:r w:rsidRPr="00486067">
        <w:rPr>
          <w:rFonts w:ascii="Cambria" w:hAnsi="Cambria" w:cs="Arial"/>
          <w:i/>
          <w:sz w:val="24"/>
          <w:szCs w:val="24"/>
        </w:rPr>
        <w:t>Basic</w:t>
      </w:r>
      <w:r w:rsidRPr="00486067">
        <w:rPr>
          <w:rFonts w:ascii="Cambria" w:hAnsi="Cambria" w:cs="Arial"/>
          <w:sz w:val="24"/>
          <w:szCs w:val="24"/>
        </w:rPr>
        <w:t xml:space="preserve"> </w:t>
      </w:r>
      <w:r w:rsidRPr="00486067">
        <w:rPr>
          <w:rFonts w:ascii="Cambria" w:hAnsi="Cambria" w:cs="Arial"/>
          <w:i/>
          <w:sz w:val="24"/>
          <w:szCs w:val="24"/>
        </w:rPr>
        <w:t>Methods of Policy Analysis and Planning</w:t>
      </w:r>
      <w:r w:rsidRPr="00486067">
        <w:rPr>
          <w:rFonts w:ascii="Cambria" w:hAnsi="Cambria" w:cs="Arial"/>
          <w:sz w:val="24"/>
          <w:szCs w:val="24"/>
        </w:rPr>
        <w:t>, Prentice Hall: London, 1993</w:t>
      </w:r>
    </w:p>
    <w:p w:rsidR="001369AC" w:rsidRPr="00486067" w:rsidRDefault="001369AC" w:rsidP="00D24412">
      <w:pPr>
        <w:pStyle w:val="ListParagraph"/>
        <w:spacing w:after="120" w:line="240" w:lineRule="auto"/>
        <w:ind w:left="612" w:hanging="540"/>
        <w:contextualSpacing w:val="0"/>
        <w:jc w:val="both"/>
        <w:rPr>
          <w:rFonts w:ascii="Cambria" w:hAnsi="Cambria" w:cs="Arial"/>
          <w:i/>
          <w:sz w:val="24"/>
          <w:szCs w:val="24"/>
        </w:rPr>
      </w:pPr>
      <w:r w:rsidRPr="00486067">
        <w:rPr>
          <w:rFonts w:ascii="Cambria" w:hAnsi="Cambria" w:cs="Arial"/>
          <w:sz w:val="24"/>
          <w:szCs w:val="24"/>
        </w:rPr>
        <w:t xml:space="preserve">Peraturan Menteri PU No. 45 Tahun 1990 </w:t>
      </w:r>
      <w:r w:rsidRPr="00486067">
        <w:rPr>
          <w:rFonts w:ascii="Cambria" w:hAnsi="Cambria" w:cs="Arial"/>
          <w:i/>
          <w:sz w:val="24"/>
          <w:szCs w:val="24"/>
        </w:rPr>
        <w:t>Tentang  Pengendalian Mutu Air   pada Sumber-sumber Air.</w:t>
      </w:r>
    </w:p>
    <w:p w:rsidR="001369AC" w:rsidRPr="00486067" w:rsidRDefault="001369AC" w:rsidP="00D24412">
      <w:pPr>
        <w:pStyle w:val="ListParagraph"/>
        <w:spacing w:after="120" w:line="240" w:lineRule="auto"/>
        <w:ind w:left="612" w:hanging="540"/>
        <w:contextualSpacing w:val="0"/>
        <w:jc w:val="both"/>
        <w:rPr>
          <w:rFonts w:ascii="Cambria" w:hAnsi="Cambria" w:cs="Arial"/>
          <w:i/>
          <w:sz w:val="24"/>
          <w:szCs w:val="24"/>
        </w:rPr>
      </w:pPr>
      <w:r w:rsidRPr="00486067">
        <w:rPr>
          <w:rFonts w:ascii="Cambria" w:hAnsi="Cambria" w:cs="Arial"/>
          <w:sz w:val="24"/>
          <w:szCs w:val="24"/>
        </w:rPr>
        <w:t xml:space="preserve">Peraturan Daerah No.10 Tahun 2002 </w:t>
      </w:r>
      <w:r w:rsidRPr="00486067">
        <w:rPr>
          <w:rFonts w:ascii="Cambria" w:hAnsi="Cambria" w:cs="Arial"/>
          <w:i/>
          <w:sz w:val="24"/>
          <w:szCs w:val="24"/>
        </w:rPr>
        <w:t>Tentang Pengelolaan Air Bawah Tanah  Kota Bekasi.</w:t>
      </w:r>
    </w:p>
    <w:p w:rsidR="001369AC" w:rsidRPr="00486067" w:rsidRDefault="001369AC" w:rsidP="00D24412">
      <w:pPr>
        <w:pStyle w:val="ListParagraph"/>
        <w:tabs>
          <w:tab w:val="left" w:pos="7980"/>
        </w:tabs>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Sadyohutomo Mulyono., </w:t>
      </w:r>
      <w:r w:rsidRPr="00486067">
        <w:rPr>
          <w:rFonts w:ascii="Cambria" w:hAnsi="Cambria" w:cs="Arial"/>
          <w:i/>
          <w:sz w:val="24"/>
          <w:szCs w:val="24"/>
        </w:rPr>
        <w:t>Manajemen Kota dan Wilayah Realita dan         Tantangan</w:t>
      </w:r>
      <w:r w:rsidRPr="00486067">
        <w:rPr>
          <w:rFonts w:ascii="Cambria" w:hAnsi="Cambria" w:cs="Arial"/>
          <w:sz w:val="24"/>
          <w:szCs w:val="24"/>
        </w:rPr>
        <w:t xml:space="preserve">, Bumi, Aksara: Jakarta, 2008. </w:t>
      </w:r>
      <w:r w:rsidRPr="00486067">
        <w:rPr>
          <w:rFonts w:ascii="Cambria" w:hAnsi="Cambria" w:cs="Arial"/>
          <w:sz w:val="24"/>
          <w:szCs w:val="24"/>
        </w:rPr>
        <w:tab/>
      </w:r>
    </w:p>
    <w:p w:rsidR="001369AC" w:rsidRPr="00486067" w:rsidRDefault="001369AC" w:rsidP="00D24412">
      <w:pPr>
        <w:pStyle w:val="ListParagraph"/>
        <w:tabs>
          <w:tab w:val="left" w:pos="7980"/>
        </w:tabs>
        <w:spacing w:after="120" w:line="240" w:lineRule="auto"/>
        <w:ind w:left="612" w:hanging="540"/>
        <w:contextualSpacing w:val="0"/>
        <w:jc w:val="both"/>
        <w:rPr>
          <w:rFonts w:ascii="Cambria" w:hAnsi="Cambria" w:cs="Arial"/>
          <w:sz w:val="24"/>
          <w:szCs w:val="24"/>
        </w:rPr>
      </w:pPr>
      <w:r w:rsidRPr="00486067">
        <w:rPr>
          <w:rFonts w:ascii="Cambria" w:hAnsi="Cambria" w:cs="Arial"/>
          <w:sz w:val="24"/>
          <w:szCs w:val="24"/>
        </w:rPr>
        <w:t xml:space="preserve">Sanim, Bunasor., </w:t>
      </w:r>
      <w:r w:rsidRPr="00486067">
        <w:rPr>
          <w:rFonts w:ascii="Cambria" w:hAnsi="Cambria" w:cs="Arial"/>
          <w:i/>
          <w:sz w:val="24"/>
          <w:szCs w:val="24"/>
        </w:rPr>
        <w:t>Sumberdaya Air dan Kesejahteraan Publik, Suatu Tinjauan</w:t>
      </w:r>
      <w:r w:rsidRPr="00486067">
        <w:rPr>
          <w:rFonts w:ascii="Cambria" w:hAnsi="Cambria" w:cs="Arial"/>
          <w:sz w:val="24"/>
          <w:szCs w:val="24"/>
        </w:rPr>
        <w:t xml:space="preserve"> </w:t>
      </w:r>
      <w:r w:rsidRPr="00486067">
        <w:rPr>
          <w:rFonts w:ascii="Cambria" w:hAnsi="Cambria" w:cs="Arial"/>
          <w:i/>
          <w:sz w:val="24"/>
          <w:szCs w:val="24"/>
        </w:rPr>
        <w:t>Teoretis</w:t>
      </w:r>
      <w:r w:rsidRPr="00486067">
        <w:rPr>
          <w:rFonts w:ascii="Cambria" w:hAnsi="Cambria" w:cs="Arial"/>
          <w:sz w:val="24"/>
          <w:szCs w:val="24"/>
        </w:rPr>
        <w:t xml:space="preserve"> </w:t>
      </w:r>
      <w:r w:rsidRPr="00486067">
        <w:rPr>
          <w:rFonts w:ascii="Cambria" w:hAnsi="Cambria" w:cs="Arial"/>
          <w:i/>
          <w:sz w:val="24"/>
          <w:szCs w:val="24"/>
        </w:rPr>
        <w:t>dan Kajian Praktis</w:t>
      </w:r>
      <w:r w:rsidRPr="00486067">
        <w:rPr>
          <w:rFonts w:ascii="Cambria" w:hAnsi="Cambria" w:cs="Arial"/>
          <w:sz w:val="24"/>
          <w:szCs w:val="24"/>
        </w:rPr>
        <w:t>,  IPB-Press : Bogor, 2011.</w:t>
      </w:r>
    </w:p>
    <w:p w:rsidR="000E5DB3" w:rsidRPr="00486067" w:rsidRDefault="001369AC" w:rsidP="00D24412">
      <w:pPr>
        <w:spacing w:after="120" w:line="240" w:lineRule="auto"/>
        <w:ind w:left="612" w:hanging="540"/>
        <w:jc w:val="both"/>
        <w:rPr>
          <w:rFonts w:ascii="Cambria" w:hAnsi="Cambria" w:cs="Arial"/>
          <w:sz w:val="24"/>
          <w:szCs w:val="24"/>
          <w:lang w:val="id-ID"/>
        </w:rPr>
      </w:pPr>
      <w:r w:rsidRPr="00486067">
        <w:rPr>
          <w:rFonts w:ascii="Cambria" w:hAnsi="Cambria" w:cs="Arial"/>
          <w:sz w:val="24"/>
          <w:szCs w:val="24"/>
        </w:rPr>
        <w:t xml:space="preserve">Sugiyono, </w:t>
      </w:r>
      <w:r w:rsidRPr="00486067">
        <w:rPr>
          <w:rFonts w:ascii="Cambria" w:hAnsi="Cambria" w:cs="Arial"/>
          <w:i/>
          <w:sz w:val="24"/>
          <w:szCs w:val="24"/>
        </w:rPr>
        <w:t>Metode</w:t>
      </w:r>
      <w:r w:rsidRPr="00486067">
        <w:rPr>
          <w:rFonts w:ascii="Cambria" w:hAnsi="Cambria" w:cs="Arial"/>
          <w:sz w:val="24"/>
          <w:szCs w:val="24"/>
        </w:rPr>
        <w:t xml:space="preserve"> </w:t>
      </w:r>
      <w:r w:rsidRPr="00486067">
        <w:rPr>
          <w:rFonts w:ascii="Cambria" w:hAnsi="Cambria" w:cs="Arial"/>
          <w:i/>
          <w:sz w:val="24"/>
          <w:szCs w:val="24"/>
        </w:rPr>
        <w:t>Penelitian Kuantitatif Kualitatif dan R &amp; D</w:t>
      </w:r>
      <w:r w:rsidRPr="00486067">
        <w:rPr>
          <w:rFonts w:ascii="Cambria" w:hAnsi="Cambria" w:cs="Arial"/>
          <w:sz w:val="24"/>
          <w:szCs w:val="24"/>
        </w:rPr>
        <w:t>,  CV. Alfabeta, Bandung,  2008</w:t>
      </w:r>
    </w:p>
    <w:p w:rsidR="00B77BFC" w:rsidRPr="00486067" w:rsidRDefault="00B77BFC" w:rsidP="00D24412">
      <w:pPr>
        <w:spacing w:after="120" w:line="240" w:lineRule="auto"/>
        <w:ind w:left="612" w:hanging="540"/>
        <w:jc w:val="both"/>
        <w:rPr>
          <w:rFonts w:ascii="Cambria" w:hAnsi="Cambria" w:cs="Arial"/>
          <w:b/>
          <w:sz w:val="24"/>
          <w:szCs w:val="24"/>
        </w:rPr>
      </w:pPr>
      <w:r w:rsidRPr="00486067">
        <w:rPr>
          <w:rFonts w:ascii="Cambria" w:hAnsi="Cambria" w:cs="Arial"/>
          <w:sz w:val="24"/>
          <w:szCs w:val="24"/>
        </w:rPr>
        <w:lastRenderedPageBreak/>
        <w:t xml:space="preserve">Thaib Danial, </w:t>
      </w:r>
      <w:r w:rsidRPr="00486067">
        <w:rPr>
          <w:rFonts w:ascii="Cambria" w:hAnsi="Cambria" w:cs="Arial"/>
          <w:i/>
          <w:sz w:val="24"/>
          <w:szCs w:val="24"/>
        </w:rPr>
        <w:t>Evaluasi Kebijakan Pengelolaan Kawasan Pantai Utara Kabupaten Bekasi Dalam Pening</w:t>
      </w:r>
      <w:r w:rsidR="001B45BE" w:rsidRPr="00486067">
        <w:rPr>
          <w:rFonts w:ascii="Cambria" w:hAnsi="Cambria" w:cs="Arial"/>
          <w:i/>
          <w:sz w:val="24"/>
          <w:szCs w:val="24"/>
          <w:lang w:val="id-ID"/>
        </w:rPr>
        <w:t xml:space="preserve"> </w:t>
      </w:r>
      <w:r w:rsidRPr="00486067">
        <w:rPr>
          <w:rFonts w:ascii="Cambria" w:hAnsi="Cambria" w:cs="Arial"/>
          <w:i/>
          <w:sz w:val="24"/>
          <w:szCs w:val="24"/>
        </w:rPr>
        <w:t>katan Kesejahteraan Masyaraka</w:t>
      </w:r>
      <w:r w:rsidRPr="00486067">
        <w:rPr>
          <w:rFonts w:ascii="Cambria" w:hAnsi="Cambria" w:cs="Arial"/>
          <w:sz w:val="24"/>
          <w:szCs w:val="24"/>
        </w:rPr>
        <w:t xml:space="preserve">t </w:t>
      </w:r>
      <w:r w:rsidRPr="00486067">
        <w:rPr>
          <w:rFonts w:ascii="Cambria" w:hAnsi="Cambria" w:cs="Arial"/>
          <w:i/>
          <w:sz w:val="24"/>
          <w:szCs w:val="24"/>
        </w:rPr>
        <w:t>Pesisir</w:t>
      </w:r>
      <w:r w:rsidRPr="00486067">
        <w:rPr>
          <w:rFonts w:ascii="Cambria" w:hAnsi="Cambria" w:cs="Arial"/>
          <w:sz w:val="24"/>
          <w:szCs w:val="24"/>
        </w:rPr>
        <w:t>, 2012 (UNJ, Disertasi Tidak Dipublikasikan).</w:t>
      </w:r>
    </w:p>
    <w:sectPr w:rsidR="00B77BFC" w:rsidRPr="00486067" w:rsidSect="001B45BE">
      <w:type w:val="continuous"/>
      <w:pgSz w:w="12240" w:h="15840"/>
      <w:pgMar w:top="1440" w:right="1440" w:bottom="1440" w:left="1440" w:header="720" w:footer="4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62" w:rsidRDefault="00165962" w:rsidP="007664B6">
      <w:pPr>
        <w:spacing w:after="0" w:line="240" w:lineRule="auto"/>
      </w:pPr>
      <w:r>
        <w:separator/>
      </w:r>
    </w:p>
  </w:endnote>
  <w:endnote w:type="continuationSeparator" w:id="0">
    <w:p w:rsidR="00165962" w:rsidRDefault="00165962" w:rsidP="0076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B05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CF" w:rsidRDefault="000A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314" w:rsidRPr="0048465B" w:rsidRDefault="00E96019" w:rsidP="00E03998">
    <w:pPr>
      <w:spacing w:after="0" w:line="240" w:lineRule="auto"/>
      <w:ind w:right="1695"/>
      <w:rPr>
        <w:sz w:val="20"/>
        <w:szCs w:val="20"/>
        <w:lang w:val="id-ID"/>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2698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544BF9" w:rsidRPr="00C259E1" w:rsidRDefault="00544BF9">
                          <w:pPr>
                            <w:pStyle w:val="Footer"/>
                            <w:jc w:val="right"/>
                            <w:rPr>
                              <w:rFonts w:asciiTheme="majorHAnsi" w:hAnsiTheme="majorHAnsi"/>
                              <w:color w:val="000000" w:themeColor="text1"/>
                              <w:sz w:val="24"/>
                              <w:szCs w:val="24"/>
                              <w:lang w:val="id-ID"/>
                            </w:rPr>
                          </w:pPr>
                          <w:r w:rsidRPr="00544BF9">
                            <w:rPr>
                              <w:rFonts w:asciiTheme="majorHAnsi" w:hAnsiTheme="majorHAnsi"/>
                              <w:color w:val="000000" w:themeColor="text1"/>
                              <w:sz w:val="24"/>
                              <w:szCs w:val="24"/>
                            </w:rPr>
                            <w:fldChar w:fldCharType="begin"/>
                          </w:r>
                          <w:r w:rsidRPr="00544BF9">
                            <w:rPr>
                              <w:rFonts w:asciiTheme="majorHAnsi" w:hAnsiTheme="majorHAnsi"/>
                              <w:color w:val="000000" w:themeColor="text1"/>
                              <w:sz w:val="24"/>
                              <w:szCs w:val="24"/>
                            </w:rPr>
                            <w:instrText xml:space="preserve"> PAGE  \* Arabic  \* MERGEFORMAT </w:instrText>
                          </w:r>
                          <w:r w:rsidRPr="00544BF9">
                            <w:rPr>
                              <w:rFonts w:asciiTheme="majorHAnsi" w:hAnsiTheme="majorHAnsi"/>
                              <w:color w:val="000000" w:themeColor="text1"/>
                              <w:sz w:val="24"/>
                              <w:szCs w:val="24"/>
                            </w:rPr>
                            <w:fldChar w:fldCharType="separate"/>
                          </w:r>
                          <w:r w:rsidR="00720092">
                            <w:rPr>
                              <w:rFonts w:asciiTheme="majorHAnsi" w:hAnsiTheme="majorHAnsi"/>
                              <w:noProof/>
                              <w:color w:val="000000" w:themeColor="text1"/>
                              <w:sz w:val="24"/>
                              <w:szCs w:val="24"/>
                            </w:rPr>
                            <w:t>20</w:t>
                          </w:r>
                          <w:r w:rsidRPr="00544BF9">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21.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" filled="f" stroked="f" strokeweight=".5pt">
              <v:path arrowok="t"/>
              <v:textbox style="mso-fit-shape-to-text:t">
                <w:txbxContent>
                  <w:p w:rsidR="00544BF9" w:rsidRPr="00C259E1" w:rsidRDefault="00544BF9">
                    <w:pPr>
                      <w:pStyle w:val="Footer"/>
                      <w:jc w:val="right"/>
                      <w:rPr>
                        <w:rFonts w:asciiTheme="majorHAnsi" w:hAnsiTheme="majorHAnsi"/>
                        <w:color w:val="000000" w:themeColor="text1"/>
                        <w:sz w:val="24"/>
                        <w:szCs w:val="24"/>
                        <w:lang w:val="id-ID"/>
                      </w:rPr>
                    </w:pPr>
                    <w:r w:rsidRPr="00544BF9">
                      <w:rPr>
                        <w:rFonts w:asciiTheme="majorHAnsi" w:hAnsiTheme="majorHAnsi"/>
                        <w:color w:val="000000" w:themeColor="text1"/>
                        <w:sz w:val="24"/>
                        <w:szCs w:val="24"/>
                      </w:rPr>
                      <w:fldChar w:fldCharType="begin"/>
                    </w:r>
                    <w:r w:rsidRPr="00544BF9">
                      <w:rPr>
                        <w:rFonts w:asciiTheme="majorHAnsi" w:hAnsiTheme="majorHAnsi"/>
                        <w:color w:val="000000" w:themeColor="text1"/>
                        <w:sz w:val="24"/>
                        <w:szCs w:val="24"/>
                      </w:rPr>
                      <w:instrText xml:space="preserve"> PAGE  \* Arabic  \* MERGEFORMAT </w:instrText>
                    </w:r>
                    <w:r w:rsidRPr="00544BF9">
                      <w:rPr>
                        <w:rFonts w:asciiTheme="majorHAnsi" w:hAnsiTheme="majorHAnsi"/>
                        <w:color w:val="000000" w:themeColor="text1"/>
                        <w:sz w:val="24"/>
                        <w:szCs w:val="24"/>
                      </w:rPr>
                      <w:fldChar w:fldCharType="separate"/>
                    </w:r>
                    <w:r w:rsidR="00720092">
                      <w:rPr>
                        <w:rFonts w:asciiTheme="majorHAnsi" w:hAnsiTheme="majorHAnsi"/>
                        <w:noProof/>
                        <w:color w:val="000000" w:themeColor="text1"/>
                        <w:sz w:val="24"/>
                        <w:szCs w:val="24"/>
                      </w:rPr>
                      <w:t>20</w:t>
                    </w:r>
                    <w:r w:rsidRPr="00544BF9">
                      <w:rPr>
                        <w:rFonts w:asciiTheme="majorHAnsi" w:hAnsiTheme="majorHAnsi"/>
                        <w:color w:val="000000" w:themeColor="text1"/>
                        <w:sz w:val="24"/>
                        <w:szCs w:val="24"/>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4864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83422F7" id="Rectangle 58" o:spid="_x0000_s1026" style="position:absolute;margin-left:0;margin-top:0;width:6in;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" fillcolor="#4f81bd [3204]" stroked="f" strokeweight="2pt">
              <v:path arrowok="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CF" w:rsidRDefault="000A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62" w:rsidRDefault="00165962" w:rsidP="007664B6">
      <w:pPr>
        <w:spacing w:after="0" w:line="240" w:lineRule="auto"/>
      </w:pPr>
      <w:r>
        <w:separator/>
      </w:r>
    </w:p>
  </w:footnote>
  <w:footnote w:type="continuationSeparator" w:id="0">
    <w:p w:rsidR="00165962" w:rsidRDefault="00165962" w:rsidP="0076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CF" w:rsidRDefault="000A6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19" w:rsidRDefault="005D4E19" w:rsidP="005D4E19">
    <w:pPr>
      <w:pStyle w:val="Header"/>
      <w:tabs>
        <w:tab w:val="clear" w:pos="9360"/>
        <w:tab w:val="right" w:pos="8647"/>
      </w:tabs>
      <w:rPr>
        <w:rFonts w:asciiTheme="majorHAnsi" w:hAnsiTheme="majorHAnsi"/>
        <w:sz w:val="24"/>
        <w:szCs w:val="24"/>
        <w:lang w:val="id-ID"/>
      </w:rPr>
    </w:pPr>
  </w:p>
  <w:p w:rsidR="00BF5314" w:rsidRPr="005D4E19" w:rsidRDefault="00E96019" w:rsidP="00F32AC5">
    <w:pPr>
      <w:pStyle w:val="Header"/>
      <w:tabs>
        <w:tab w:val="clear" w:pos="9360"/>
        <w:tab w:val="right" w:pos="9356"/>
      </w:tabs>
      <w:rPr>
        <w:rFonts w:asciiTheme="majorHAnsi" w:hAnsiTheme="majorHAnsi"/>
        <w:sz w:val="24"/>
        <w:szCs w:val="24"/>
        <w:lang w:val="id-ID"/>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213360</wp:posOffset>
              </wp:positionV>
              <wp:extent cx="5904230" cy="9525"/>
              <wp:effectExtent l="38100" t="38100" r="77470" b="857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423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2B6EF8"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6.8pt" to="465.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" strokecolor="#4f81bd [3204]" strokeweight="2pt">
              <v:shadow on="t" color="black" opacity="24903f" origin=",.5" offset="0,.55556mm"/>
              <o:lock v:ext="edit" shapetype="f"/>
            </v:line>
          </w:pict>
        </mc:Fallback>
      </mc:AlternateContent>
    </w:r>
    <w:r w:rsidR="005D4E19" w:rsidRPr="005D4E19">
      <w:rPr>
        <w:rFonts w:asciiTheme="majorHAnsi" w:hAnsiTheme="majorHAnsi"/>
        <w:sz w:val="24"/>
        <w:szCs w:val="24"/>
        <w:lang w:val="id-ID"/>
      </w:rPr>
      <w:t xml:space="preserve">Jurnal Green Growth dan Manajemen Lingkungan </w:t>
    </w:r>
    <w:r w:rsidR="005D4E19">
      <w:rPr>
        <w:rFonts w:asciiTheme="majorHAnsi" w:hAnsiTheme="majorHAnsi"/>
        <w:sz w:val="24"/>
        <w:szCs w:val="24"/>
        <w:lang w:val="id-ID"/>
      </w:rPr>
      <w:tab/>
    </w:r>
    <w:r w:rsidR="005D4E19" w:rsidRPr="005D4E19">
      <w:rPr>
        <w:rFonts w:asciiTheme="majorHAnsi" w:hAnsiTheme="majorHAnsi"/>
        <w:sz w:val="24"/>
        <w:szCs w:val="24"/>
        <w:lang w:val="id-ID"/>
      </w:rPr>
      <w:t>Vol.I Edisi</w:t>
    </w:r>
    <w:r w:rsidR="000A64CF">
      <w:rPr>
        <w:rFonts w:asciiTheme="majorHAnsi" w:hAnsiTheme="majorHAnsi"/>
        <w:sz w:val="24"/>
        <w:szCs w:val="24"/>
      </w:rPr>
      <w:t>-</w:t>
    </w:r>
    <w:r w:rsidR="00DB6868">
      <w:rPr>
        <w:rFonts w:asciiTheme="majorHAnsi" w:hAnsiTheme="majorHAnsi"/>
        <w:sz w:val="24"/>
        <w:szCs w:val="24"/>
      </w:rPr>
      <w:t>2</w:t>
    </w:r>
    <w:r w:rsidR="005D4E19" w:rsidRPr="005D4E19">
      <w:rPr>
        <w:rFonts w:asciiTheme="majorHAnsi" w:hAnsiTheme="majorHAnsi"/>
        <w:sz w:val="24"/>
        <w:szCs w:val="24"/>
        <w:lang w:val="id-ID"/>
      </w:rPr>
      <w:t xml:space="preserve"> Juni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CF" w:rsidRDefault="000A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C02"/>
    <w:multiLevelType w:val="hybridMultilevel"/>
    <w:tmpl w:val="73AAD6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02635"/>
    <w:multiLevelType w:val="hybridMultilevel"/>
    <w:tmpl w:val="6BC61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06A"/>
    <w:multiLevelType w:val="hybridMultilevel"/>
    <w:tmpl w:val="FF32A7C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8EB1374"/>
    <w:multiLevelType w:val="hybridMultilevel"/>
    <w:tmpl w:val="11507AB6"/>
    <w:lvl w:ilvl="0" w:tplc="9C7CD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71CB4"/>
    <w:multiLevelType w:val="hybridMultilevel"/>
    <w:tmpl w:val="1646FE00"/>
    <w:lvl w:ilvl="0" w:tplc="DD7C8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900B7"/>
    <w:multiLevelType w:val="hybridMultilevel"/>
    <w:tmpl w:val="75F25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38"/>
    <w:rsid w:val="000136F7"/>
    <w:rsid w:val="0001640F"/>
    <w:rsid w:val="000210F3"/>
    <w:rsid w:val="000373AE"/>
    <w:rsid w:val="00040901"/>
    <w:rsid w:val="00053A3C"/>
    <w:rsid w:val="000634C1"/>
    <w:rsid w:val="000A64CF"/>
    <w:rsid w:val="000A749C"/>
    <w:rsid w:val="000B6CA0"/>
    <w:rsid w:val="000C75BF"/>
    <w:rsid w:val="000D28C7"/>
    <w:rsid w:val="000E3B13"/>
    <w:rsid w:val="000E5DB3"/>
    <w:rsid w:val="000F11D8"/>
    <w:rsid w:val="000F2808"/>
    <w:rsid w:val="001078B1"/>
    <w:rsid w:val="001107D0"/>
    <w:rsid w:val="00120E1B"/>
    <w:rsid w:val="00122436"/>
    <w:rsid w:val="00126962"/>
    <w:rsid w:val="001369AC"/>
    <w:rsid w:val="00136AB9"/>
    <w:rsid w:val="00165962"/>
    <w:rsid w:val="001755AC"/>
    <w:rsid w:val="001873F8"/>
    <w:rsid w:val="001A35DB"/>
    <w:rsid w:val="001B45BE"/>
    <w:rsid w:val="001B624E"/>
    <w:rsid w:val="001C2C3C"/>
    <w:rsid w:val="001D72A9"/>
    <w:rsid w:val="001D7E06"/>
    <w:rsid w:val="001E42F1"/>
    <w:rsid w:val="00220393"/>
    <w:rsid w:val="002230B3"/>
    <w:rsid w:val="00226107"/>
    <w:rsid w:val="00237B1A"/>
    <w:rsid w:val="00252B5E"/>
    <w:rsid w:val="0025773B"/>
    <w:rsid w:val="00273F6E"/>
    <w:rsid w:val="00281D53"/>
    <w:rsid w:val="00283E3F"/>
    <w:rsid w:val="00285D6A"/>
    <w:rsid w:val="0029741A"/>
    <w:rsid w:val="002A2A77"/>
    <w:rsid w:val="002B19B1"/>
    <w:rsid w:val="002B58DB"/>
    <w:rsid w:val="002B6D2D"/>
    <w:rsid w:val="002D0CE7"/>
    <w:rsid w:val="002D1703"/>
    <w:rsid w:val="002D3FFA"/>
    <w:rsid w:val="002F2767"/>
    <w:rsid w:val="002F3253"/>
    <w:rsid w:val="0031151E"/>
    <w:rsid w:val="00373179"/>
    <w:rsid w:val="003864EB"/>
    <w:rsid w:val="003A318F"/>
    <w:rsid w:val="003A6DDA"/>
    <w:rsid w:val="003C1ADF"/>
    <w:rsid w:val="003F29FC"/>
    <w:rsid w:val="004408A9"/>
    <w:rsid w:val="00442FF4"/>
    <w:rsid w:val="0047381D"/>
    <w:rsid w:val="0048465B"/>
    <w:rsid w:val="00486067"/>
    <w:rsid w:val="0049144F"/>
    <w:rsid w:val="004A199A"/>
    <w:rsid w:val="004A40E3"/>
    <w:rsid w:val="004B2EE5"/>
    <w:rsid w:val="004B3BD1"/>
    <w:rsid w:val="004E1A20"/>
    <w:rsid w:val="004F76CA"/>
    <w:rsid w:val="004F7EA2"/>
    <w:rsid w:val="00521EAC"/>
    <w:rsid w:val="00544BF9"/>
    <w:rsid w:val="0054652B"/>
    <w:rsid w:val="00572CCB"/>
    <w:rsid w:val="00583FFA"/>
    <w:rsid w:val="005A00C0"/>
    <w:rsid w:val="005A2ED1"/>
    <w:rsid w:val="005B487C"/>
    <w:rsid w:val="005C6D31"/>
    <w:rsid w:val="005C7027"/>
    <w:rsid w:val="005D4E19"/>
    <w:rsid w:val="005E77D1"/>
    <w:rsid w:val="005F5617"/>
    <w:rsid w:val="00610E3E"/>
    <w:rsid w:val="00613665"/>
    <w:rsid w:val="00623FEB"/>
    <w:rsid w:val="00625D66"/>
    <w:rsid w:val="00635C71"/>
    <w:rsid w:val="00660240"/>
    <w:rsid w:val="00661D36"/>
    <w:rsid w:val="00665894"/>
    <w:rsid w:val="006A7CE9"/>
    <w:rsid w:val="006C15C6"/>
    <w:rsid w:val="006D08E4"/>
    <w:rsid w:val="006E475E"/>
    <w:rsid w:val="006F4000"/>
    <w:rsid w:val="006F52D4"/>
    <w:rsid w:val="00716E1E"/>
    <w:rsid w:val="00720092"/>
    <w:rsid w:val="00736CF3"/>
    <w:rsid w:val="0074380F"/>
    <w:rsid w:val="00763795"/>
    <w:rsid w:val="007664B6"/>
    <w:rsid w:val="007708C4"/>
    <w:rsid w:val="0077743E"/>
    <w:rsid w:val="0079398C"/>
    <w:rsid w:val="00796705"/>
    <w:rsid w:val="007B426C"/>
    <w:rsid w:val="007C01A8"/>
    <w:rsid w:val="007D126F"/>
    <w:rsid w:val="007F573F"/>
    <w:rsid w:val="008014F4"/>
    <w:rsid w:val="00817EEC"/>
    <w:rsid w:val="00836191"/>
    <w:rsid w:val="00865592"/>
    <w:rsid w:val="00873536"/>
    <w:rsid w:val="00887821"/>
    <w:rsid w:val="008A3156"/>
    <w:rsid w:val="008A4BFD"/>
    <w:rsid w:val="008A5513"/>
    <w:rsid w:val="008B2F2F"/>
    <w:rsid w:val="008B70B2"/>
    <w:rsid w:val="008C215A"/>
    <w:rsid w:val="008C6CCF"/>
    <w:rsid w:val="008C775B"/>
    <w:rsid w:val="008D28E0"/>
    <w:rsid w:val="008E21E6"/>
    <w:rsid w:val="008E3D2A"/>
    <w:rsid w:val="008E471D"/>
    <w:rsid w:val="008E7967"/>
    <w:rsid w:val="00903AAE"/>
    <w:rsid w:val="00911A67"/>
    <w:rsid w:val="00916FFE"/>
    <w:rsid w:val="00933B79"/>
    <w:rsid w:val="009618FF"/>
    <w:rsid w:val="00963F3C"/>
    <w:rsid w:val="0098060B"/>
    <w:rsid w:val="00984BC0"/>
    <w:rsid w:val="009A1CB3"/>
    <w:rsid w:val="009C0F4D"/>
    <w:rsid w:val="009D006E"/>
    <w:rsid w:val="009D274F"/>
    <w:rsid w:val="009F2D34"/>
    <w:rsid w:val="00A16741"/>
    <w:rsid w:val="00A24BF3"/>
    <w:rsid w:val="00A4501B"/>
    <w:rsid w:val="00A64AFE"/>
    <w:rsid w:val="00A75C9D"/>
    <w:rsid w:val="00A9379B"/>
    <w:rsid w:val="00AA6F05"/>
    <w:rsid w:val="00AD711D"/>
    <w:rsid w:val="00AE0BBF"/>
    <w:rsid w:val="00B46071"/>
    <w:rsid w:val="00B77BFC"/>
    <w:rsid w:val="00B91404"/>
    <w:rsid w:val="00B94EFB"/>
    <w:rsid w:val="00B957A1"/>
    <w:rsid w:val="00BA41C4"/>
    <w:rsid w:val="00BB1FCE"/>
    <w:rsid w:val="00BB62E5"/>
    <w:rsid w:val="00BC241C"/>
    <w:rsid w:val="00BD66D0"/>
    <w:rsid w:val="00BE232A"/>
    <w:rsid w:val="00BE58BF"/>
    <w:rsid w:val="00BF5314"/>
    <w:rsid w:val="00C14BDB"/>
    <w:rsid w:val="00C23B88"/>
    <w:rsid w:val="00C259E1"/>
    <w:rsid w:val="00C312DC"/>
    <w:rsid w:val="00C55F6E"/>
    <w:rsid w:val="00C609E4"/>
    <w:rsid w:val="00C637ED"/>
    <w:rsid w:val="00C64366"/>
    <w:rsid w:val="00CC074F"/>
    <w:rsid w:val="00CD4080"/>
    <w:rsid w:val="00CD57E1"/>
    <w:rsid w:val="00CF5A55"/>
    <w:rsid w:val="00CF70D6"/>
    <w:rsid w:val="00CF79F8"/>
    <w:rsid w:val="00D15776"/>
    <w:rsid w:val="00D24412"/>
    <w:rsid w:val="00D93C1B"/>
    <w:rsid w:val="00DB6868"/>
    <w:rsid w:val="00DC3BE6"/>
    <w:rsid w:val="00DC712F"/>
    <w:rsid w:val="00DD0C38"/>
    <w:rsid w:val="00DE3795"/>
    <w:rsid w:val="00DE6771"/>
    <w:rsid w:val="00DF41E5"/>
    <w:rsid w:val="00DF5C34"/>
    <w:rsid w:val="00DF6753"/>
    <w:rsid w:val="00E03998"/>
    <w:rsid w:val="00E20DBD"/>
    <w:rsid w:val="00E44528"/>
    <w:rsid w:val="00E55238"/>
    <w:rsid w:val="00E64D58"/>
    <w:rsid w:val="00E75385"/>
    <w:rsid w:val="00E772F1"/>
    <w:rsid w:val="00E96019"/>
    <w:rsid w:val="00EB1F58"/>
    <w:rsid w:val="00EB3E3E"/>
    <w:rsid w:val="00EB474D"/>
    <w:rsid w:val="00ED3EFD"/>
    <w:rsid w:val="00ED417C"/>
    <w:rsid w:val="00EE6EB9"/>
    <w:rsid w:val="00EF1445"/>
    <w:rsid w:val="00F200C2"/>
    <w:rsid w:val="00F230AA"/>
    <w:rsid w:val="00F32AC5"/>
    <w:rsid w:val="00F43B43"/>
    <w:rsid w:val="00F45CF2"/>
    <w:rsid w:val="00F50839"/>
    <w:rsid w:val="00F946BE"/>
    <w:rsid w:val="00FA3521"/>
    <w:rsid w:val="00FB6DBB"/>
    <w:rsid w:val="00FD50F3"/>
    <w:rsid w:val="00FD5D35"/>
    <w:rsid w:val="00FD5F43"/>
    <w:rsid w:val="00FD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9468227-63E5-4526-AD86-E9B8682B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29FC"/>
    <w:pPr>
      <w:spacing w:after="0" w:line="240" w:lineRule="auto"/>
    </w:pPr>
    <w:rPr>
      <w:rFonts w:ascii="Calibri" w:eastAsia="MS Mincho" w:hAnsi="Calibri" w:cs="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F29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CA0"/>
    <w:pPr>
      <w:ind w:left="720"/>
      <w:contextualSpacing/>
    </w:pPr>
  </w:style>
  <w:style w:type="paragraph" w:styleId="Header">
    <w:name w:val="header"/>
    <w:basedOn w:val="Normal"/>
    <w:link w:val="HeaderChar"/>
    <w:uiPriority w:val="99"/>
    <w:unhideWhenUsed/>
    <w:rsid w:val="0076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B6"/>
  </w:style>
  <w:style w:type="paragraph" w:styleId="Footer">
    <w:name w:val="footer"/>
    <w:basedOn w:val="Normal"/>
    <w:link w:val="FooterChar"/>
    <w:uiPriority w:val="99"/>
    <w:unhideWhenUsed/>
    <w:rsid w:val="0076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4B6"/>
  </w:style>
  <w:style w:type="paragraph" w:styleId="FootnoteText">
    <w:name w:val="footnote text"/>
    <w:basedOn w:val="Normal"/>
    <w:link w:val="FootnoteTextChar"/>
    <w:uiPriority w:val="99"/>
    <w:unhideWhenUsed/>
    <w:rsid w:val="00583FFA"/>
    <w:pPr>
      <w:spacing w:after="0" w:line="240" w:lineRule="auto"/>
    </w:pPr>
    <w:rPr>
      <w:sz w:val="20"/>
      <w:szCs w:val="20"/>
    </w:rPr>
  </w:style>
  <w:style w:type="character" w:customStyle="1" w:styleId="FootnoteTextChar">
    <w:name w:val="Footnote Text Char"/>
    <w:basedOn w:val="DefaultParagraphFont"/>
    <w:link w:val="FootnoteText"/>
    <w:uiPriority w:val="99"/>
    <w:rsid w:val="00583FFA"/>
    <w:rPr>
      <w:sz w:val="20"/>
      <w:szCs w:val="20"/>
    </w:rPr>
  </w:style>
  <w:style w:type="paragraph" w:styleId="BalloonText">
    <w:name w:val="Balloon Text"/>
    <w:basedOn w:val="Normal"/>
    <w:link w:val="BalloonTextChar"/>
    <w:uiPriority w:val="99"/>
    <w:semiHidden/>
    <w:unhideWhenUsed/>
    <w:rsid w:val="005D4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E19"/>
    <w:rPr>
      <w:rFonts w:ascii="Tahoma" w:hAnsi="Tahoma" w:cs="Tahoma"/>
      <w:sz w:val="16"/>
      <w:szCs w:val="16"/>
    </w:rPr>
  </w:style>
  <w:style w:type="paragraph" w:customStyle="1" w:styleId="2909F619802848F09E01365C32F34654">
    <w:name w:val="2909F619802848F09E01365C32F34654"/>
    <w:rsid w:val="00D1577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6BE9-EB89-4B2E-B3F6-79690361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3484</Words>
  <Characters>19052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Irmawatty Paula Tamburaka, I Made Putrawan, Rukaessih A. Maolani : Evaluation Of Implementation Aboutpolicy Underground Water Management</dc:creator>
  <cp:lastModifiedBy>prihatnojoko@outlook.com</cp:lastModifiedBy>
  <cp:revision>3</cp:revision>
  <cp:lastPrinted>2017-05-09T02:56:00Z</cp:lastPrinted>
  <dcterms:created xsi:type="dcterms:W3CDTF">2017-05-09T02:28:00Z</dcterms:created>
  <dcterms:modified xsi:type="dcterms:W3CDTF">2017-05-09T02:56:00Z</dcterms:modified>
</cp:coreProperties>
</file>