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38C43" w14:textId="77777777" w:rsidR="00FC509C" w:rsidRDefault="00FC509C" w:rsidP="002342D4">
      <w:pPr>
        <w:ind w:left="426" w:right="429"/>
        <w:jc w:val="center"/>
        <w:rPr>
          <w:rFonts w:ascii="Times New Roman" w:hAnsi="Times New Roman" w:cs="Times New Roman"/>
          <w:b/>
          <w:color w:val="auto"/>
          <w:sz w:val="28"/>
          <w:szCs w:val="24"/>
        </w:rPr>
      </w:pPr>
      <w:r w:rsidRPr="00FC509C">
        <w:rPr>
          <w:rFonts w:ascii="Times New Roman" w:hAnsi="Times New Roman" w:cs="Times New Roman"/>
          <w:b/>
          <w:color w:val="auto"/>
          <w:sz w:val="28"/>
          <w:szCs w:val="24"/>
        </w:rPr>
        <w:t xml:space="preserve">Analysis </w:t>
      </w:r>
      <w:r>
        <w:rPr>
          <w:rFonts w:ascii="Times New Roman" w:hAnsi="Times New Roman" w:cs="Times New Roman"/>
          <w:b/>
          <w:color w:val="auto"/>
          <w:sz w:val="28"/>
          <w:szCs w:val="24"/>
        </w:rPr>
        <w:t>o</w:t>
      </w:r>
      <w:r w:rsidRPr="00FC509C">
        <w:rPr>
          <w:rFonts w:ascii="Times New Roman" w:hAnsi="Times New Roman" w:cs="Times New Roman"/>
          <w:b/>
          <w:color w:val="auto"/>
          <w:sz w:val="28"/>
          <w:szCs w:val="24"/>
        </w:rPr>
        <w:t xml:space="preserve">f Personal Financial Management, Financial Literacy, </w:t>
      </w:r>
      <w:r>
        <w:rPr>
          <w:rFonts w:ascii="Times New Roman" w:hAnsi="Times New Roman" w:cs="Times New Roman"/>
          <w:b/>
          <w:color w:val="auto"/>
          <w:sz w:val="28"/>
          <w:szCs w:val="24"/>
        </w:rPr>
        <w:t>a</w:t>
      </w:r>
      <w:r w:rsidRPr="00FC509C">
        <w:rPr>
          <w:rFonts w:ascii="Times New Roman" w:hAnsi="Times New Roman" w:cs="Times New Roman"/>
          <w:b/>
          <w:color w:val="auto"/>
          <w:sz w:val="28"/>
          <w:szCs w:val="24"/>
        </w:rPr>
        <w:t xml:space="preserve">nd Digital Finance </w:t>
      </w:r>
      <w:r>
        <w:rPr>
          <w:rFonts w:ascii="Times New Roman" w:hAnsi="Times New Roman" w:cs="Times New Roman"/>
          <w:b/>
          <w:color w:val="auto"/>
          <w:sz w:val="28"/>
          <w:szCs w:val="24"/>
        </w:rPr>
        <w:t>i</w:t>
      </w:r>
      <w:r w:rsidRPr="00FC509C">
        <w:rPr>
          <w:rFonts w:ascii="Times New Roman" w:hAnsi="Times New Roman" w:cs="Times New Roman"/>
          <w:b/>
          <w:color w:val="auto"/>
          <w:sz w:val="28"/>
          <w:szCs w:val="24"/>
        </w:rPr>
        <w:t xml:space="preserve">n Generation Z </w:t>
      </w:r>
      <w:r>
        <w:rPr>
          <w:rFonts w:ascii="Times New Roman" w:hAnsi="Times New Roman" w:cs="Times New Roman"/>
          <w:b/>
          <w:color w:val="auto"/>
          <w:sz w:val="28"/>
          <w:szCs w:val="24"/>
        </w:rPr>
        <w:t>i</w:t>
      </w:r>
      <w:r w:rsidRPr="00FC509C">
        <w:rPr>
          <w:rFonts w:ascii="Times New Roman" w:hAnsi="Times New Roman" w:cs="Times New Roman"/>
          <w:b/>
          <w:color w:val="auto"/>
          <w:sz w:val="28"/>
          <w:szCs w:val="24"/>
        </w:rPr>
        <w:t>n Supporting</w:t>
      </w:r>
    </w:p>
    <w:p w14:paraId="30CAC76C" w14:textId="16BF56D9" w:rsidR="0084556C" w:rsidRDefault="00FC509C" w:rsidP="002342D4">
      <w:pPr>
        <w:ind w:left="426" w:right="429"/>
        <w:jc w:val="center"/>
        <w:rPr>
          <w:rFonts w:ascii="Times New Roman" w:hAnsi="Times New Roman" w:cs="Times New Roman"/>
          <w:b/>
          <w:color w:val="auto"/>
          <w:sz w:val="28"/>
          <w:szCs w:val="24"/>
        </w:rPr>
      </w:pPr>
      <w:r w:rsidRPr="00FC509C">
        <w:rPr>
          <w:rFonts w:ascii="Times New Roman" w:hAnsi="Times New Roman" w:cs="Times New Roman"/>
          <w:b/>
          <w:color w:val="auto"/>
          <w:sz w:val="28"/>
          <w:szCs w:val="24"/>
        </w:rPr>
        <w:t xml:space="preserve"> Sustainable Consumption</w:t>
      </w:r>
    </w:p>
    <w:p w14:paraId="199887F6" w14:textId="77777777" w:rsidR="00FC509C" w:rsidRPr="00FC509C" w:rsidRDefault="00FC509C" w:rsidP="002342D4">
      <w:pPr>
        <w:ind w:left="426" w:right="429"/>
        <w:jc w:val="center"/>
        <w:rPr>
          <w:rFonts w:ascii="Times New Roman" w:hAnsi="Times New Roman" w:cs="Times New Roman"/>
          <w:b/>
          <w:color w:val="auto"/>
          <w:sz w:val="24"/>
          <w:szCs w:val="24"/>
        </w:rPr>
      </w:pPr>
    </w:p>
    <w:p w14:paraId="5383CD42" w14:textId="77777777" w:rsidR="00FC509C" w:rsidRPr="00FC509C" w:rsidRDefault="00FC509C" w:rsidP="00FC509C">
      <w:pPr>
        <w:pStyle w:val="BodyText"/>
        <w:ind w:right="49"/>
        <w:jc w:val="center"/>
        <w:rPr>
          <w:b/>
          <w:bCs/>
          <w:color w:val="auto"/>
          <w:kern w:val="0"/>
          <w14:ligatures w14:val="none"/>
          <w14:cntxtAlts w14:val="0"/>
        </w:rPr>
      </w:pPr>
      <w:r w:rsidRPr="00FC509C">
        <w:rPr>
          <w:b/>
          <w:bCs/>
        </w:rPr>
        <w:t xml:space="preserve">Monica </w:t>
      </w:r>
      <w:proofErr w:type="spellStart"/>
      <w:r w:rsidRPr="00FC509C">
        <w:rPr>
          <w:b/>
          <w:bCs/>
        </w:rPr>
        <w:t>Dewi</w:t>
      </w:r>
      <w:proofErr w:type="spellEnd"/>
      <w:r w:rsidRPr="00FC509C">
        <w:rPr>
          <w:b/>
          <w:bCs/>
        </w:rPr>
        <w:t xml:space="preserve"> </w:t>
      </w:r>
    </w:p>
    <w:p w14:paraId="02663C37" w14:textId="77777777" w:rsidR="00FC509C" w:rsidRPr="00FC509C" w:rsidRDefault="00FC509C" w:rsidP="00FC509C">
      <w:pPr>
        <w:pStyle w:val="BodyText"/>
        <w:ind w:right="49"/>
        <w:jc w:val="center"/>
      </w:pPr>
      <w:r w:rsidRPr="00FC509C">
        <w:t xml:space="preserve">Faculty of Economics and Business, </w:t>
      </w:r>
      <w:proofErr w:type="spellStart"/>
      <w:r w:rsidRPr="00FC509C">
        <w:t>Universitas</w:t>
      </w:r>
      <w:proofErr w:type="spellEnd"/>
      <w:r w:rsidRPr="00FC509C">
        <w:t xml:space="preserve"> Negeri Jakarta, Jakarta Indonesia</w:t>
      </w:r>
    </w:p>
    <w:p w14:paraId="2720B84A" w14:textId="77777777" w:rsidR="00FC509C" w:rsidRPr="00FC509C" w:rsidRDefault="00FC509C" w:rsidP="00FC509C">
      <w:pPr>
        <w:pStyle w:val="BodyText"/>
        <w:ind w:right="49"/>
        <w:jc w:val="center"/>
        <w:rPr>
          <w:color w:val="0066FF"/>
          <w:spacing w:val="-2"/>
          <w:u w:val="single" w:color="0066FF"/>
        </w:rPr>
      </w:pPr>
      <w:hyperlink r:id="rId8" w:history="1">
        <w:r w:rsidRPr="00FC509C">
          <w:rPr>
            <w:rStyle w:val="Hyperlink"/>
            <w:spacing w:val="-2"/>
          </w:rPr>
          <w:t>monicadewi@unj.ac.id</w:t>
        </w:r>
      </w:hyperlink>
      <w:r w:rsidRPr="00FC509C">
        <w:rPr>
          <w:color w:val="0066FF"/>
          <w:spacing w:val="-2"/>
          <w:u w:val="single" w:color="0066FF"/>
        </w:rPr>
        <w:t xml:space="preserve"> </w:t>
      </w:r>
    </w:p>
    <w:p w14:paraId="2D4AAC1A" w14:textId="77777777" w:rsidR="00FC509C" w:rsidRPr="00FC509C" w:rsidRDefault="00FC509C" w:rsidP="00FC509C">
      <w:pPr>
        <w:pStyle w:val="BodyText"/>
        <w:ind w:right="49"/>
        <w:jc w:val="center"/>
        <w:rPr>
          <w:color w:val="auto"/>
        </w:rPr>
      </w:pPr>
    </w:p>
    <w:p w14:paraId="24B93B49" w14:textId="77777777" w:rsidR="00FC509C" w:rsidRPr="00FC509C" w:rsidRDefault="00FC509C" w:rsidP="00FC509C">
      <w:pPr>
        <w:pStyle w:val="BodyText"/>
        <w:ind w:right="49"/>
        <w:jc w:val="center"/>
        <w:rPr>
          <w:b/>
          <w:bCs/>
        </w:rPr>
      </w:pPr>
      <w:r w:rsidRPr="00FC509C">
        <w:rPr>
          <w:b/>
          <w:bCs/>
          <w:color w:val="000000" w:themeColor="text1"/>
        </w:rPr>
        <w:t xml:space="preserve">Agung </w:t>
      </w:r>
      <w:proofErr w:type="spellStart"/>
      <w:r w:rsidRPr="00FC509C">
        <w:rPr>
          <w:b/>
          <w:bCs/>
          <w:color w:val="000000" w:themeColor="text1"/>
        </w:rPr>
        <w:t>Dharmawan</w:t>
      </w:r>
      <w:proofErr w:type="spellEnd"/>
      <w:r w:rsidRPr="00FC509C">
        <w:rPr>
          <w:b/>
          <w:bCs/>
          <w:color w:val="000000" w:themeColor="text1"/>
        </w:rPr>
        <w:t xml:space="preserve"> </w:t>
      </w:r>
      <w:proofErr w:type="spellStart"/>
      <w:r w:rsidRPr="00FC509C">
        <w:rPr>
          <w:b/>
          <w:bCs/>
          <w:color w:val="000000" w:themeColor="text1"/>
        </w:rPr>
        <w:t>Buchdadi</w:t>
      </w:r>
      <w:proofErr w:type="spellEnd"/>
    </w:p>
    <w:p w14:paraId="71243130" w14:textId="77777777" w:rsidR="00FC509C" w:rsidRPr="00FC509C" w:rsidRDefault="00FC509C" w:rsidP="00FC509C">
      <w:pPr>
        <w:pStyle w:val="BodyText"/>
        <w:ind w:right="49"/>
        <w:jc w:val="center"/>
      </w:pPr>
      <w:r w:rsidRPr="00FC509C">
        <w:t xml:space="preserve">Faculty of Economics and Business, </w:t>
      </w:r>
      <w:proofErr w:type="spellStart"/>
      <w:r w:rsidRPr="00FC509C">
        <w:t>Universitas</w:t>
      </w:r>
      <w:proofErr w:type="spellEnd"/>
      <w:r w:rsidRPr="00FC509C">
        <w:t xml:space="preserve"> Negeri Jakarta, Jakarta Indonesia</w:t>
      </w:r>
    </w:p>
    <w:p w14:paraId="147FFE31" w14:textId="77777777" w:rsidR="00FC509C" w:rsidRPr="00FC509C" w:rsidRDefault="00FC509C" w:rsidP="00FC509C">
      <w:pPr>
        <w:pStyle w:val="BodyText"/>
        <w:ind w:right="49" w:firstLine="2"/>
        <w:jc w:val="center"/>
        <w:rPr>
          <w:color w:val="0066FF"/>
          <w:spacing w:val="-2"/>
          <w:u w:val="single" w:color="0066FF"/>
        </w:rPr>
      </w:pPr>
      <w:hyperlink r:id="rId9" w:history="1">
        <w:r w:rsidRPr="00FC509C">
          <w:rPr>
            <w:rStyle w:val="Hyperlink"/>
            <w:spacing w:val="-2"/>
          </w:rPr>
          <w:t>abuchdadi@unj.ac.id</w:t>
        </w:r>
      </w:hyperlink>
      <w:r w:rsidRPr="00FC509C">
        <w:rPr>
          <w:color w:val="0066FF"/>
          <w:spacing w:val="-2"/>
          <w:u w:val="single" w:color="0066FF"/>
        </w:rPr>
        <w:t xml:space="preserve">. </w:t>
      </w:r>
    </w:p>
    <w:p w14:paraId="0D476C1B" w14:textId="77777777" w:rsidR="00FC509C" w:rsidRPr="00FC509C" w:rsidRDefault="00FC509C" w:rsidP="00FC509C">
      <w:pPr>
        <w:pStyle w:val="BodyText"/>
        <w:ind w:right="49" w:firstLine="2"/>
        <w:jc w:val="center"/>
        <w:rPr>
          <w:color w:val="auto"/>
        </w:rPr>
      </w:pPr>
    </w:p>
    <w:p w14:paraId="080AF42B" w14:textId="77777777" w:rsidR="00FC509C" w:rsidRPr="00FC509C" w:rsidRDefault="00FC509C" w:rsidP="00FC509C">
      <w:pPr>
        <w:pStyle w:val="BodyText"/>
        <w:ind w:right="49" w:firstLine="2"/>
        <w:jc w:val="center"/>
        <w:rPr>
          <w:b/>
          <w:bCs/>
        </w:rPr>
      </w:pPr>
      <w:r w:rsidRPr="00FC509C">
        <w:rPr>
          <w:b/>
          <w:bCs/>
        </w:rPr>
        <w:t xml:space="preserve">Wahyu </w:t>
      </w:r>
      <w:proofErr w:type="spellStart"/>
      <w:r w:rsidRPr="00FC509C">
        <w:rPr>
          <w:b/>
          <w:bCs/>
        </w:rPr>
        <w:t>Wastuti</w:t>
      </w:r>
      <w:proofErr w:type="spellEnd"/>
      <w:r w:rsidRPr="00FC509C">
        <w:rPr>
          <w:b/>
          <w:bCs/>
        </w:rPr>
        <w:t xml:space="preserve"> </w:t>
      </w:r>
    </w:p>
    <w:p w14:paraId="2745DD7B" w14:textId="77777777" w:rsidR="00FC509C" w:rsidRPr="00FC509C" w:rsidRDefault="00FC509C" w:rsidP="00FC509C">
      <w:pPr>
        <w:pStyle w:val="BodyText"/>
        <w:ind w:right="49"/>
        <w:jc w:val="center"/>
      </w:pPr>
      <w:r w:rsidRPr="00FC509C">
        <w:t xml:space="preserve">Faculty of Economics and Business, </w:t>
      </w:r>
      <w:proofErr w:type="spellStart"/>
      <w:r w:rsidRPr="00FC509C">
        <w:t>Universitas</w:t>
      </w:r>
      <w:proofErr w:type="spellEnd"/>
      <w:r w:rsidRPr="00FC509C">
        <w:t xml:space="preserve"> Negeri Jakarta, Jakarta Indonesia</w:t>
      </w:r>
    </w:p>
    <w:p w14:paraId="5EC295DC" w14:textId="56BB5F79" w:rsidR="004B4FA7" w:rsidRPr="00FC509C" w:rsidRDefault="00FC509C" w:rsidP="00FC509C">
      <w:pPr>
        <w:jc w:val="center"/>
        <w:rPr>
          <w:rStyle w:val="Hyperlink"/>
          <w:rFonts w:ascii="Times New Roman" w:hAnsi="Times New Roman" w:cs="Times New Roman"/>
          <w:sz w:val="24"/>
          <w:szCs w:val="24"/>
        </w:rPr>
      </w:pPr>
      <w:hyperlink r:id="rId10" w:history="1">
        <w:r w:rsidRPr="00FC509C">
          <w:rPr>
            <w:rStyle w:val="Hyperlink"/>
            <w:rFonts w:ascii="Times New Roman" w:hAnsi="Times New Roman" w:cs="Times New Roman"/>
            <w:sz w:val="24"/>
            <w:szCs w:val="24"/>
          </w:rPr>
          <w:t>wahyuwastuti@unj.ac.id</w:t>
        </w:r>
      </w:hyperlink>
    </w:p>
    <w:p w14:paraId="6D4A93B3" w14:textId="77777777" w:rsidR="00FC509C" w:rsidRPr="0062088D" w:rsidRDefault="00FC509C" w:rsidP="00FC509C">
      <w:pPr>
        <w:jc w:val="center"/>
        <w:rPr>
          <w:rFonts w:ascii="Times New Roman" w:hAnsi="Times New Roman" w:cs="Times New Roman"/>
          <w:color w:val="auto"/>
          <w:kern w:val="0"/>
          <w:sz w:val="24"/>
          <w:szCs w:val="24"/>
          <w14:ligatures w14:val="none"/>
          <w14:cntxtAlts w14:val="0"/>
        </w:rPr>
      </w:pPr>
    </w:p>
    <w:tbl>
      <w:tblPr>
        <w:tblW w:w="8504" w:type="dxa"/>
        <w:jc w:val="center"/>
        <w:tblCellMar>
          <w:left w:w="0" w:type="dxa"/>
          <w:right w:w="0" w:type="dxa"/>
        </w:tblCellMar>
        <w:tblLook w:val="04A0" w:firstRow="1" w:lastRow="0" w:firstColumn="1" w:lastColumn="0" w:noHBand="0" w:noVBand="1"/>
      </w:tblPr>
      <w:tblGrid>
        <w:gridCol w:w="8504"/>
      </w:tblGrid>
      <w:tr w:rsidR="00136866" w:rsidRPr="00641564" w14:paraId="506FCFB5" w14:textId="77777777" w:rsidTr="00136866">
        <w:trPr>
          <w:trHeight w:val="453"/>
          <w:jc w:val="center"/>
        </w:trPr>
        <w:tc>
          <w:tcPr>
            <w:tcW w:w="8504" w:type="dxa"/>
            <w:tcBorders>
              <w:top w:val="single" w:sz="18" w:space="0" w:color="000000"/>
            </w:tcBorders>
            <w:shd w:val="clear" w:color="auto" w:fill="D9D9D9"/>
            <w:tcMar>
              <w:top w:w="58" w:type="dxa"/>
              <w:left w:w="58" w:type="dxa"/>
              <w:bottom w:w="58" w:type="dxa"/>
              <w:right w:w="58" w:type="dxa"/>
            </w:tcMar>
            <w:vAlign w:val="center"/>
            <w:hideMark/>
          </w:tcPr>
          <w:p w14:paraId="19579806" w14:textId="77777777" w:rsidR="00136866" w:rsidRPr="00641564" w:rsidRDefault="00136866">
            <w:pPr>
              <w:jc w:val="center"/>
              <w:rPr>
                <w:rFonts w:ascii="Times New Roman" w:hAnsi="Times New Roman" w:cs="Times New Roman"/>
                <w:b/>
                <w:bCs/>
                <w:sz w:val="24"/>
                <w:szCs w:val="24"/>
                <w:lang w:val="id-ID"/>
                <w14:ligatures w14:val="none"/>
              </w:rPr>
            </w:pPr>
            <w:r w:rsidRPr="00641564">
              <w:rPr>
                <w:rFonts w:ascii="Times New Roman" w:hAnsi="Times New Roman" w:cs="Times New Roman"/>
                <w:b/>
                <w:bCs/>
                <w:sz w:val="24"/>
                <w:szCs w:val="24"/>
                <w14:ligatures w14:val="none"/>
              </w:rPr>
              <w:t>ABSTRACT</w:t>
            </w:r>
          </w:p>
        </w:tc>
      </w:tr>
      <w:tr w:rsidR="00C8512B" w:rsidRPr="00641564" w14:paraId="1BDF6EB0" w14:textId="77777777" w:rsidTr="00A56E08">
        <w:trPr>
          <w:trHeight w:val="3227"/>
          <w:jc w:val="center"/>
        </w:trPr>
        <w:tc>
          <w:tcPr>
            <w:tcW w:w="8504" w:type="dxa"/>
            <w:tcBorders>
              <w:bottom w:val="single" w:sz="4" w:space="0" w:color="000000"/>
            </w:tcBorders>
            <w:shd w:val="clear" w:color="auto" w:fill="FFFFFF"/>
            <w:tcMar>
              <w:top w:w="58" w:type="dxa"/>
              <w:left w:w="58" w:type="dxa"/>
              <w:bottom w:w="58" w:type="dxa"/>
              <w:right w:w="58" w:type="dxa"/>
            </w:tcMar>
            <w:hideMark/>
          </w:tcPr>
          <w:p w14:paraId="0C9A70A0" w14:textId="65BA1703" w:rsidR="00C8512B" w:rsidRPr="00F04BE4" w:rsidRDefault="00406E74" w:rsidP="00C8512B">
            <w:pPr>
              <w:jc w:val="both"/>
              <w:rPr>
                <w:rFonts w:ascii="Times New Roman" w:hAnsi="Times New Roman"/>
                <w:i/>
                <w:iCs/>
                <w:sz w:val="24"/>
                <w:szCs w:val="24"/>
              </w:rPr>
            </w:pPr>
            <w:r w:rsidRPr="00406E74">
              <w:rPr>
                <w:rFonts w:ascii="Times New Roman" w:hAnsi="Times New Roman"/>
                <w:i/>
                <w:iCs/>
                <w:sz w:val="24"/>
                <w:szCs w:val="24"/>
              </w:rPr>
              <w:t>This study examines the influence of personal financial management, financial literacy, and digital finance on sustainable consumption among Generation Z in Indonesia. Using a quantitative approach with purposive and convenience sampling, data were collected from 40 respondents aged 18–23 with a minimum monthly income of IDR 5,000,000. The results, analyzed using SEM-PLS, indicate that all three variables personal financial management, financial literacy, and digital finance significantly impact sustainable consumption. The findings highlight the importance of financial literacy and digital tools in promoting environmentally and socially responsible consumption behaviors. This research contributes to the literature by integrating financial literacy, digital finance, and environmental awareness into a sustainable financial decision-making model for Generation Z, offering practical implications for policymakers and educators aiming to foster sustainable consumption practices.</w:t>
            </w:r>
          </w:p>
        </w:tc>
      </w:tr>
      <w:tr w:rsidR="00C8512B" w:rsidRPr="00641564" w14:paraId="2EEC0BDC" w14:textId="77777777" w:rsidTr="00136866">
        <w:trPr>
          <w:trHeight w:val="652"/>
          <w:jc w:val="center"/>
        </w:trPr>
        <w:tc>
          <w:tcPr>
            <w:tcW w:w="8504" w:type="dxa"/>
            <w:tcBorders>
              <w:top w:val="single" w:sz="4" w:space="0" w:color="000000"/>
              <w:bottom w:val="single" w:sz="4" w:space="0" w:color="000000"/>
            </w:tcBorders>
            <w:shd w:val="clear" w:color="auto" w:fill="FFFFFF"/>
            <w:tcMar>
              <w:top w:w="58" w:type="dxa"/>
              <w:left w:w="58" w:type="dxa"/>
              <w:bottom w:w="58" w:type="dxa"/>
              <w:right w:w="58" w:type="dxa"/>
            </w:tcMar>
            <w:hideMark/>
          </w:tcPr>
          <w:p w14:paraId="60CB74D1" w14:textId="22A1A1CF" w:rsidR="00C8512B" w:rsidRPr="001B7808" w:rsidRDefault="00C8512B" w:rsidP="00C8512B">
            <w:pPr>
              <w:rPr>
                <w:rFonts w:ascii="Times New Roman" w:hAnsi="Times New Roman" w:cs="Times New Roman"/>
                <w:b/>
                <w:bCs/>
                <w:sz w:val="24"/>
                <w:szCs w:val="24"/>
                <w:lang w:val="en-GB"/>
                <w14:ligatures w14:val="none"/>
              </w:rPr>
            </w:pPr>
            <w:r w:rsidRPr="001B7808">
              <w:rPr>
                <w:rFonts w:ascii="Times New Roman" w:hAnsi="Times New Roman" w:cs="Times New Roman"/>
                <w:b/>
                <w:bCs/>
                <w:sz w:val="24"/>
                <w:szCs w:val="24"/>
                <w:lang w:val="id-ID"/>
                <w14:ligatures w14:val="none"/>
              </w:rPr>
              <w:t>K</w:t>
            </w:r>
            <w:r w:rsidRPr="001B7808">
              <w:rPr>
                <w:rFonts w:ascii="Times New Roman" w:hAnsi="Times New Roman" w:cs="Times New Roman"/>
                <w:b/>
                <w:bCs/>
                <w:sz w:val="24"/>
                <w:szCs w:val="24"/>
                <w14:ligatures w14:val="none"/>
              </w:rPr>
              <w:t>e</w:t>
            </w:r>
            <w:r w:rsidRPr="001B7808">
              <w:rPr>
                <w:rFonts w:ascii="Times New Roman" w:hAnsi="Times New Roman" w:cs="Times New Roman"/>
                <w:b/>
                <w:bCs/>
                <w:sz w:val="24"/>
                <w:szCs w:val="24"/>
                <w:lang w:val="id-ID"/>
                <w14:ligatures w14:val="none"/>
              </w:rPr>
              <w:t>yword</w:t>
            </w:r>
            <w:r w:rsidRPr="001B7808">
              <w:rPr>
                <w:rFonts w:ascii="Times New Roman" w:hAnsi="Times New Roman" w:cs="Times New Roman"/>
                <w:b/>
                <w:bCs/>
                <w:sz w:val="24"/>
                <w:szCs w:val="24"/>
                <w14:ligatures w14:val="none"/>
              </w:rPr>
              <w:t>s</w:t>
            </w:r>
            <w:r w:rsidRPr="001B7808">
              <w:rPr>
                <w:rFonts w:ascii="Times New Roman" w:hAnsi="Times New Roman" w:cs="Times New Roman"/>
                <w:b/>
                <w:bCs/>
                <w:sz w:val="24"/>
                <w:szCs w:val="24"/>
                <w:lang w:val="id-ID"/>
                <w14:ligatures w14:val="none"/>
              </w:rPr>
              <w:t>:</w:t>
            </w:r>
            <w:r w:rsidRPr="001B7808">
              <w:rPr>
                <w:rFonts w:ascii="Times New Roman" w:hAnsi="Times New Roman" w:cs="Times New Roman"/>
                <w:b/>
                <w:bCs/>
                <w:sz w:val="24"/>
                <w:szCs w:val="24"/>
                <w:lang w:val="en-GB"/>
                <w14:ligatures w14:val="none"/>
              </w:rPr>
              <w:t xml:space="preserve"> </w:t>
            </w:r>
            <w:r w:rsidR="00406E74" w:rsidRPr="00406E74">
              <w:rPr>
                <w:rFonts w:ascii="Times New Roman" w:hAnsi="Times New Roman" w:cs="Times New Roman"/>
                <w:b/>
                <w:bCs/>
                <w:sz w:val="24"/>
                <w:szCs w:val="24"/>
                <w:lang w:val="en-GB"/>
                <w14:ligatures w14:val="none"/>
              </w:rPr>
              <w:t>personal finance management, financial literacy, digital finance, sustainability</w:t>
            </w:r>
          </w:p>
          <w:p w14:paraId="65A61121" w14:textId="7C1F88AE" w:rsidR="00C8512B" w:rsidRPr="00A456A3" w:rsidRDefault="00C8512B" w:rsidP="00C8512B">
            <w:pPr>
              <w:rPr>
                <w:lang w:val="en-GB"/>
              </w:rPr>
            </w:pPr>
          </w:p>
        </w:tc>
      </w:tr>
      <w:tr w:rsidR="00C8512B" w:rsidRPr="00641564" w14:paraId="67A24B3E" w14:textId="77777777" w:rsidTr="00136866">
        <w:trPr>
          <w:trHeight w:val="1004"/>
          <w:jc w:val="center"/>
        </w:trPr>
        <w:tc>
          <w:tcPr>
            <w:tcW w:w="8504" w:type="dxa"/>
            <w:tcBorders>
              <w:top w:val="single" w:sz="4" w:space="0" w:color="000000"/>
              <w:bottom w:val="single" w:sz="4" w:space="0" w:color="000000"/>
            </w:tcBorders>
            <w:shd w:val="clear" w:color="auto" w:fill="FFFFFF"/>
            <w:tcMar>
              <w:top w:w="58" w:type="dxa"/>
              <w:left w:w="58" w:type="dxa"/>
              <w:bottom w:w="58" w:type="dxa"/>
              <w:right w:w="58" w:type="dxa"/>
            </w:tcMar>
            <w:hideMark/>
          </w:tcPr>
          <w:p w14:paraId="308FCDD7" w14:textId="2DC95333" w:rsidR="00C8512B" w:rsidRPr="00641564" w:rsidRDefault="00C8512B" w:rsidP="00C8512B">
            <w:pPr>
              <w:widowControl w:val="0"/>
              <w:rPr>
                <w:rFonts w:ascii="Times New Roman" w:hAnsi="Times New Roman" w:cs="Times New Roman"/>
                <w:sz w:val="24"/>
                <w:szCs w:val="24"/>
                <w14:ligatures w14:val="none"/>
              </w:rPr>
            </w:pPr>
            <w:r w:rsidRPr="00641564">
              <w:rPr>
                <w:rFonts w:ascii="Times New Roman" w:hAnsi="Times New Roman" w:cs="Times New Roman"/>
                <w:sz w:val="24"/>
                <w:szCs w:val="24"/>
                <w:lang w:val="id-ID"/>
                <w14:ligatures w14:val="none"/>
              </w:rPr>
              <w:t xml:space="preserve">Received: </w:t>
            </w:r>
            <w:r w:rsidR="004B4FA7">
              <w:rPr>
                <w:rFonts w:ascii="Times New Roman" w:hAnsi="Times New Roman" w:cs="Times New Roman"/>
                <w:sz w:val="24"/>
                <w:szCs w:val="24"/>
                <w:lang w:val="en-GB"/>
                <w14:ligatures w14:val="none"/>
              </w:rPr>
              <w:t>1</w:t>
            </w:r>
            <w:r w:rsidR="00406E74">
              <w:rPr>
                <w:rFonts w:ascii="Times New Roman" w:hAnsi="Times New Roman" w:cs="Times New Roman"/>
                <w:sz w:val="24"/>
                <w:szCs w:val="24"/>
                <w:lang w:val="en-GB"/>
                <w14:ligatures w14:val="none"/>
              </w:rPr>
              <w:t>5</w:t>
            </w:r>
            <w:r w:rsidR="004B4FA7">
              <w:rPr>
                <w:rFonts w:ascii="Times New Roman" w:hAnsi="Times New Roman" w:cs="Times New Roman"/>
                <w:sz w:val="24"/>
                <w:szCs w:val="24"/>
                <w:lang w:val="en-GB"/>
                <w14:ligatures w14:val="none"/>
              </w:rPr>
              <w:t xml:space="preserve"> October</w:t>
            </w:r>
            <w:r>
              <w:rPr>
                <w:rFonts w:ascii="Times New Roman" w:hAnsi="Times New Roman" w:cs="Times New Roman"/>
                <w:sz w:val="24"/>
                <w:szCs w:val="24"/>
                <w:lang w:val="en-GB"/>
                <w14:ligatures w14:val="none"/>
              </w:rPr>
              <w:t xml:space="preserve"> 2025</w:t>
            </w:r>
            <w:r w:rsidRPr="00641564">
              <w:rPr>
                <w:rFonts w:ascii="Times New Roman" w:hAnsi="Times New Roman" w:cs="Times New Roman"/>
                <w:sz w:val="24"/>
                <w:szCs w:val="24"/>
                <w14:ligatures w14:val="none"/>
              </w:rPr>
              <w:t xml:space="preserve"> </w:t>
            </w:r>
            <w:r w:rsidRPr="00641564">
              <w:rPr>
                <w:rFonts w:ascii="Times New Roman" w:hAnsi="Times New Roman" w:cs="Times New Roman"/>
                <w:sz w:val="24"/>
                <w:szCs w:val="24"/>
                <w:lang w:val="id-ID"/>
                <w14:ligatures w14:val="none"/>
              </w:rPr>
              <w:t>;</w:t>
            </w:r>
          </w:p>
          <w:p w14:paraId="0DC50BB7" w14:textId="2888E9B4" w:rsidR="00C8512B" w:rsidRPr="00641564" w:rsidRDefault="00C8512B" w:rsidP="00C8512B">
            <w:pPr>
              <w:widowControl w:val="0"/>
              <w:rPr>
                <w:rFonts w:ascii="Times New Roman" w:hAnsi="Times New Roman" w:cs="Times New Roman"/>
                <w:sz w:val="24"/>
                <w:szCs w:val="24"/>
                <w:lang w:val="id-ID"/>
                <w14:ligatures w14:val="none"/>
              </w:rPr>
            </w:pPr>
            <w:r w:rsidRPr="00641564">
              <w:rPr>
                <w:rFonts w:ascii="Times New Roman" w:hAnsi="Times New Roman" w:cs="Times New Roman"/>
                <w:sz w:val="24"/>
                <w:szCs w:val="24"/>
                <w:lang w:val="id-ID"/>
                <w14:ligatures w14:val="none"/>
              </w:rPr>
              <w:t>Accepted:</w:t>
            </w:r>
            <w:r w:rsidRPr="00641564">
              <w:rPr>
                <w:rFonts w:ascii="Times New Roman" w:hAnsi="Times New Roman" w:cs="Times New Roman"/>
                <w:sz w:val="24"/>
                <w:szCs w:val="24"/>
                <w14:ligatures w14:val="none"/>
              </w:rPr>
              <w:t xml:space="preserve"> </w:t>
            </w:r>
            <w:r w:rsidR="004B4FA7">
              <w:rPr>
                <w:rFonts w:ascii="Times New Roman" w:hAnsi="Times New Roman" w:cs="Times New Roman"/>
                <w:sz w:val="24"/>
                <w:szCs w:val="24"/>
                <w14:ligatures w14:val="none"/>
              </w:rPr>
              <w:t>2</w:t>
            </w:r>
            <w:r>
              <w:rPr>
                <w:rFonts w:ascii="Times New Roman" w:hAnsi="Times New Roman" w:cs="Times New Roman"/>
                <w:sz w:val="24"/>
                <w:szCs w:val="24"/>
                <w14:ligatures w14:val="none"/>
              </w:rPr>
              <w:t xml:space="preserve"> December 2025</w:t>
            </w:r>
            <w:r w:rsidRPr="00641564">
              <w:rPr>
                <w:rFonts w:ascii="Times New Roman" w:hAnsi="Times New Roman" w:cs="Times New Roman"/>
                <w:sz w:val="24"/>
                <w:szCs w:val="24"/>
                <w14:ligatures w14:val="none"/>
              </w:rPr>
              <w:t xml:space="preserve"> </w:t>
            </w:r>
            <w:r w:rsidRPr="00641564">
              <w:rPr>
                <w:rFonts w:ascii="Times New Roman" w:hAnsi="Times New Roman" w:cs="Times New Roman"/>
                <w:sz w:val="24"/>
                <w:szCs w:val="24"/>
                <w:lang w:val="id-ID"/>
                <w14:ligatures w14:val="none"/>
              </w:rPr>
              <w:t>;</w:t>
            </w:r>
          </w:p>
          <w:p w14:paraId="3E98C591" w14:textId="7D2F026A" w:rsidR="00C8512B" w:rsidRPr="00641564" w:rsidRDefault="00C8512B" w:rsidP="00C8512B">
            <w:pPr>
              <w:widowControl w:val="0"/>
              <w:rPr>
                <w:rFonts w:ascii="Times New Roman" w:hAnsi="Times New Roman" w:cs="Times New Roman"/>
                <w:sz w:val="24"/>
                <w:szCs w:val="24"/>
                <w:lang w:val="en-GB"/>
                <w14:ligatures w14:val="none"/>
              </w:rPr>
            </w:pPr>
            <w:r w:rsidRPr="00641564">
              <w:rPr>
                <w:rFonts w:ascii="Times New Roman" w:hAnsi="Times New Roman" w:cs="Times New Roman"/>
                <w:sz w:val="24"/>
                <w:szCs w:val="24"/>
                <w:lang w:val="en-GB"/>
                <w14:ligatures w14:val="none"/>
              </w:rPr>
              <w:t xml:space="preserve">Published: </w:t>
            </w:r>
            <w:r>
              <w:rPr>
                <w:rFonts w:ascii="Times New Roman" w:hAnsi="Times New Roman" w:cs="Times New Roman"/>
                <w:sz w:val="24"/>
                <w:szCs w:val="24"/>
                <w:lang w:val="en-GB"/>
                <w14:ligatures w14:val="none"/>
              </w:rPr>
              <w:t>December 2025</w:t>
            </w:r>
            <w:r w:rsidRPr="00641564">
              <w:rPr>
                <w:rFonts w:ascii="Times New Roman" w:hAnsi="Times New Roman" w:cs="Times New Roman"/>
                <w:sz w:val="24"/>
                <w:szCs w:val="24"/>
                <w:lang w:val="en-GB"/>
                <w14:ligatures w14:val="none"/>
              </w:rPr>
              <w:t xml:space="preserve">. </w:t>
            </w:r>
            <w:r w:rsidRPr="00641564">
              <w:rPr>
                <w:rFonts w:ascii="Times New Roman" w:hAnsi="Times New Roman" w:cs="Times New Roman"/>
                <w:sz w:val="24"/>
                <w:szCs w:val="24"/>
                <w:lang w:val="id-ID"/>
              </w:rPr>
              <w:tab/>
            </w:r>
          </w:p>
          <w:p w14:paraId="17D87F8F" w14:textId="05E01269" w:rsidR="00C8512B" w:rsidRPr="00641564" w:rsidRDefault="00C8512B" w:rsidP="00C8512B">
            <w:pPr>
              <w:tabs>
                <w:tab w:val="left" w:pos="5000"/>
              </w:tabs>
              <w:rPr>
                <w:rFonts w:ascii="Times New Roman" w:hAnsi="Times New Roman" w:cs="Times New Roman"/>
                <w:sz w:val="24"/>
                <w:szCs w:val="24"/>
                <w:lang w:val="id-ID"/>
              </w:rPr>
            </w:pPr>
            <w:r w:rsidRPr="00641564">
              <w:rPr>
                <w:rFonts w:ascii="Times New Roman" w:hAnsi="Times New Roman" w:cs="Times New Roman"/>
                <w:sz w:val="24"/>
                <w:szCs w:val="24"/>
                <w:lang w:val="id-ID"/>
              </w:rPr>
              <w:tab/>
            </w:r>
          </w:p>
        </w:tc>
      </w:tr>
      <w:tr w:rsidR="00C8512B" w:rsidRPr="00641564" w14:paraId="4FC53C2E" w14:textId="77777777" w:rsidTr="00136866">
        <w:trPr>
          <w:trHeight w:val="1337"/>
          <w:jc w:val="center"/>
        </w:trPr>
        <w:tc>
          <w:tcPr>
            <w:tcW w:w="8504" w:type="dxa"/>
            <w:tcBorders>
              <w:top w:val="single" w:sz="4" w:space="0" w:color="000000"/>
              <w:bottom w:val="single" w:sz="18" w:space="0" w:color="000000"/>
            </w:tcBorders>
            <w:shd w:val="clear" w:color="auto" w:fill="FFFFFF"/>
            <w:tcMar>
              <w:top w:w="58" w:type="dxa"/>
              <w:left w:w="58" w:type="dxa"/>
              <w:bottom w:w="58" w:type="dxa"/>
              <w:right w:w="58" w:type="dxa"/>
            </w:tcMar>
            <w:hideMark/>
          </w:tcPr>
          <w:p w14:paraId="582D6F80" w14:textId="77777777" w:rsidR="00C8512B" w:rsidRPr="005D268A" w:rsidRDefault="00C8512B" w:rsidP="005D268A">
            <w:pPr>
              <w:jc w:val="both"/>
              <w:rPr>
                <w:rFonts w:ascii="Times New Roman" w:hAnsi="Times New Roman" w:cs="Times New Roman"/>
                <w:sz w:val="24"/>
              </w:rPr>
            </w:pPr>
            <w:r w:rsidRPr="005D268A">
              <w:rPr>
                <w:rFonts w:ascii="Times New Roman" w:hAnsi="Times New Roman" w:cs="Times New Roman"/>
                <w:sz w:val="24"/>
              </w:rPr>
              <w:t>How to Cite:</w:t>
            </w:r>
          </w:p>
          <w:p w14:paraId="26602AD9" w14:textId="77777777" w:rsidR="00406E74" w:rsidRPr="00406E74" w:rsidRDefault="00406E74" w:rsidP="00406E74">
            <w:pPr>
              <w:jc w:val="both"/>
              <w:rPr>
                <w:rFonts w:ascii="Times New Roman" w:hAnsi="Times New Roman" w:cs="Times New Roman"/>
                <w:color w:val="auto"/>
                <w:sz w:val="24"/>
              </w:rPr>
            </w:pPr>
            <w:bookmarkStart w:id="0" w:name="_Hlk202205420"/>
            <w:bookmarkStart w:id="1" w:name="_Hlk216783711"/>
            <w:proofErr w:type="spellStart"/>
            <w:r>
              <w:rPr>
                <w:rFonts w:ascii="Times New Roman" w:hAnsi="Times New Roman" w:cs="Times New Roman"/>
                <w:sz w:val="24"/>
              </w:rPr>
              <w:t>Dewi</w:t>
            </w:r>
            <w:proofErr w:type="spellEnd"/>
            <w:r>
              <w:rPr>
                <w:rFonts w:ascii="Times New Roman" w:hAnsi="Times New Roman" w:cs="Times New Roman"/>
                <w:sz w:val="24"/>
              </w:rPr>
              <w:t xml:space="preserve">, M., </w:t>
            </w:r>
            <w:proofErr w:type="spellStart"/>
            <w:r>
              <w:rPr>
                <w:rFonts w:ascii="Times New Roman" w:hAnsi="Times New Roman" w:cs="Times New Roman"/>
                <w:sz w:val="24"/>
              </w:rPr>
              <w:t>Buchdadi</w:t>
            </w:r>
            <w:proofErr w:type="spellEnd"/>
            <w:r>
              <w:rPr>
                <w:rFonts w:ascii="Times New Roman" w:hAnsi="Times New Roman" w:cs="Times New Roman"/>
                <w:sz w:val="24"/>
              </w:rPr>
              <w:t xml:space="preserve">, A.D., &amp; </w:t>
            </w:r>
            <w:proofErr w:type="spellStart"/>
            <w:r>
              <w:rPr>
                <w:rFonts w:ascii="Times New Roman" w:hAnsi="Times New Roman" w:cs="Times New Roman"/>
                <w:sz w:val="24"/>
              </w:rPr>
              <w:t>Wastuti</w:t>
            </w:r>
            <w:proofErr w:type="spellEnd"/>
            <w:r>
              <w:rPr>
                <w:rFonts w:ascii="Times New Roman" w:hAnsi="Times New Roman" w:cs="Times New Roman"/>
                <w:sz w:val="24"/>
              </w:rPr>
              <w:t>, W.</w:t>
            </w:r>
            <w:r w:rsidR="00C8512B" w:rsidRPr="005D268A">
              <w:rPr>
                <w:rFonts w:ascii="Times New Roman" w:hAnsi="Times New Roman" w:cs="Times New Roman"/>
                <w:sz w:val="24"/>
              </w:rPr>
              <w:t xml:space="preserve"> (2025).</w:t>
            </w:r>
            <w:bookmarkEnd w:id="0"/>
            <w:r w:rsidR="00C8512B" w:rsidRPr="005D268A">
              <w:rPr>
                <w:rFonts w:ascii="Times New Roman" w:hAnsi="Times New Roman" w:cs="Times New Roman"/>
                <w:sz w:val="24"/>
              </w:rPr>
              <w:t xml:space="preserve"> </w:t>
            </w:r>
            <w:bookmarkEnd w:id="1"/>
            <w:r w:rsidRPr="00406E74">
              <w:rPr>
                <w:rFonts w:ascii="Times New Roman" w:hAnsi="Times New Roman" w:cs="Times New Roman"/>
                <w:color w:val="auto"/>
                <w:sz w:val="24"/>
              </w:rPr>
              <w:t>Analysis of Personal Financial Management, Financial Literacy, and Digital Finance in Generation Z in Supporting</w:t>
            </w:r>
          </w:p>
          <w:p w14:paraId="621B6381" w14:textId="639F9B58" w:rsidR="00C8512B" w:rsidRPr="005D268A" w:rsidRDefault="00406E74" w:rsidP="00406E74">
            <w:pPr>
              <w:jc w:val="both"/>
              <w:rPr>
                <w:rFonts w:ascii="Times New Roman" w:hAnsi="Times New Roman" w:cs="Times New Roman"/>
                <w:b/>
                <w:color w:val="auto"/>
                <w:sz w:val="24"/>
              </w:rPr>
            </w:pPr>
            <w:r w:rsidRPr="00406E74">
              <w:rPr>
                <w:rFonts w:ascii="Times New Roman" w:hAnsi="Times New Roman" w:cs="Times New Roman"/>
                <w:color w:val="auto"/>
                <w:sz w:val="24"/>
              </w:rPr>
              <w:t xml:space="preserve"> Sustainable Consumption</w:t>
            </w:r>
            <w:r w:rsidR="005D268A" w:rsidRPr="005D268A">
              <w:rPr>
                <w:rFonts w:ascii="Times New Roman" w:hAnsi="Times New Roman" w:cs="Times New Roman"/>
                <w:color w:val="auto"/>
                <w:sz w:val="24"/>
              </w:rPr>
              <w:t>.</w:t>
            </w:r>
            <w:r w:rsidR="005D268A" w:rsidRPr="005D268A">
              <w:rPr>
                <w:rFonts w:ascii="Times New Roman" w:hAnsi="Times New Roman" w:cs="Times New Roman"/>
                <w:b/>
                <w:color w:val="auto"/>
                <w:sz w:val="24"/>
              </w:rPr>
              <w:t xml:space="preserve"> </w:t>
            </w:r>
            <w:r w:rsidR="00C8512B" w:rsidRPr="005D268A">
              <w:rPr>
                <w:rFonts w:ascii="Times New Roman" w:hAnsi="Times New Roman" w:cs="Times New Roman"/>
                <w:i/>
                <w:iCs/>
                <w:sz w:val="24"/>
              </w:rPr>
              <w:t xml:space="preserve">Journal of Business and </w:t>
            </w:r>
            <w:proofErr w:type="spellStart"/>
            <w:r w:rsidR="00C8512B" w:rsidRPr="005D268A">
              <w:rPr>
                <w:rFonts w:ascii="Times New Roman" w:hAnsi="Times New Roman" w:cs="Times New Roman"/>
                <w:i/>
                <w:iCs/>
                <w:sz w:val="24"/>
              </w:rPr>
              <w:t>Behavioural</w:t>
            </w:r>
            <w:proofErr w:type="spellEnd"/>
            <w:r w:rsidR="00C8512B" w:rsidRPr="005D268A">
              <w:rPr>
                <w:rFonts w:ascii="Times New Roman" w:hAnsi="Times New Roman" w:cs="Times New Roman"/>
                <w:i/>
                <w:iCs/>
                <w:sz w:val="24"/>
              </w:rPr>
              <w:t xml:space="preserve"> Entrepreneurship</w:t>
            </w:r>
            <w:r w:rsidR="00C8512B" w:rsidRPr="005D268A">
              <w:rPr>
                <w:rFonts w:ascii="Times New Roman" w:hAnsi="Times New Roman" w:cs="Times New Roman"/>
                <w:sz w:val="24"/>
              </w:rPr>
              <w:t xml:space="preserve">, 9(2), </w:t>
            </w:r>
            <w:bookmarkStart w:id="2" w:name="_Hlk216813432"/>
            <w:r w:rsidR="001C18A7" w:rsidRPr="005D268A">
              <w:rPr>
                <w:rFonts w:ascii="Times New Roman" w:hAnsi="Times New Roman" w:cs="Times New Roman"/>
                <w:sz w:val="24"/>
              </w:rPr>
              <w:t>2</w:t>
            </w:r>
            <w:bookmarkEnd w:id="2"/>
            <w:r>
              <w:rPr>
                <w:rFonts w:ascii="Times New Roman" w:hAnsi="Times New Roman" w:cs="Times New Roman"/>
                <w:sz w:val="24"/>
              </w:rPr>
              <w:t>69-</w:t>
            </w:r>
            <w:r w:rsidR="00C24770">
              <w:rPr>
                <w:rFonts w:ascii="Times New Roman" w:hAnsi="Times New Roman" w:cs="Times New Roman"/>
                <w:sz w:val="24"/>
              </w:rPr>
              <w:t>280</w:t>
            </w:r>
            <w:r w:rsidR="00C8512B" w:rsidRPr="005D268A">
              <w:rPr>
                <w:rFonts w:ascii="Times New Roman" w:hAnsi="Times New Roman" w:cs="Times New Roman"/>
                <w:sz w:val="24"/>
              </w:rPr>
              <w:t>. https://doi.org/10.21009/JOBBE.009.2.0</w:t>
            </w:r>
            <w:r>
              <w:rPr>
                <w:rFonts w:ascii="Times New Roman" w:hAnsi="Times New Roman" w:cs="Times New Roman"/>
                <w:sz w:val="24"/>
              </w:rPr>
              <w:t>5</w:t>
            </w:r>
          </w:p>
        </w:tc>
      </w:tr>
    </w:tbl>
    <w:p w14:paraId="536F3776" w14:textId="77777777" w:rsidR="009C43C4" w:rsidRDefault="009C43C4" w:rsidP="008E409B">
      <w:pPr>
        <w:ind w:left="446" w:right="360"/>
        <w:jc w:val="both"/>
        <w:rPr>
          <w:rFonts w:ascii="Times New Roman" w:hAnsi="Times New Roman" w:cs="Times New Roman"/>
          <w:b/>
          <w:sz w:val="24"/>
          <w:szCs w:val="24"/>
        </w:rPr>
      </w:pPr>
    </w:p>
    <w:p w14:paraId="5EF5A3BE" w14:textId="77777777" w:rsidR="001C18A7" w:rsidRDefault="001C18A7" w:rsidP="008E409B">
      <w:pPr>
        <w:ind w:left="446" w:right="360"/>
        <w:jc w:val="both"/>
        <w:rPr>
          <w:rFonts w:ascii="Times New Roman" w:hAnsi="Times New Roman" w:cs="Times New Roman"/>
          <w:b/>
          <w:sz w:val="24"/>
          <w:szCs w:val="24"/>
        </w:rPr>
      </w:pPr>
    </w:p>
    <w:p w14:paraId="64452266" w14:textId="10978692" w:rsidR="008E409B" w:rsidRPr="00641564" w:rsidRDefault="008E409B" w:rsidP="008E409B">
      <w:pPr>
        <w:ind w:left="446" w:right="360"/>
        <w:jc w:val="both"/>
        <w:rPr>
          <w:rFonts w:ascii="Times New Roman" w:hAnsi="Times New Roman" w:cs="Times New Roman"/>
          <w:b/>
          <w:sz w:val="24"/>
          <w:szCs w:val="24"/>
        </w:rPr>
      </w:pPr>
      <w:r w:rsidRPr="00641564">
        <w:rPr>
          <w:rFonts w:ascii="Times New Roman" w:hAnsi="Times New Roman" w:cs="Times New Roman"/>
          <w:b/>
          <w:sz w:val="24"/>
          <w:szCs w:val="24"/>
        </w:rPr>
        <w:lastRenderedPageBreak/>
        <w:t>INTRODUCTION</w:t>
      </w:r>
    </w:p>
    <w:p w14:paraId="4B4594F2" w14:textId="67967E54" w:rsidR="00D650B5" w:rsidRPr="00641564" w:rsidRDefault="00D650B5" w:rsidP="008E409B">
      <w:pPr>
        <w:ind w:left="446" w:right="360"/>
        <w:jc w:val="both"/>
        <w:rPr>
          <w:rFonts w:ascii="Times New Roman" w:hAnsi="Times New Roman" w:cs="Times New Roman"/>
          <w:b/>
          <w:sz w:val="24"/>
          <w:szCs w:val="24"/>
        </w:rPr>
      </w:pPr>
    </w:p>
    <w:p w14:paraId="53396E7B" w14:textId="77777777" w:rsidR="00406E74" w:rsidRPr="00406E74" w:rsidRDefault="00406E74" w:rsidP="00406E74">
      <w:pPr>
        <w:autoSpaceDE w:val="0"/>
        <w:autoSpaceDN w:val="0"/>
        <w:adjustRightInd w:val="0"/>
        <w:spacing w:line="259" w:lineRule="atLeast"/>
        <w:ind w:left="426" w:right="288" w:firstLine="567"/>
        <w:jc w:val="both"/>
        <w:rPr>
          <w:rFonts w:ascii="Times New Roman" w:hAnsi="Times New Roman" w:cs="Times New Roman"/>
          <w:sz w:val="24"/>
          <w:szCs w:val="24"/>
        </w:rPr>
      </w:pPr>
      <w:r w:rsidRPr="00406E74">
        <w:rPr>
          <w:rFonts w:ascii="Times New Roman" w:hAnsi="Times New Roman" w:cs="Times New Roman"/>
          <w:sz w:val="24"/>
          <w:szCs w:val="24"/>
        </w:rPr>
        <w:t>In an effort to realize a more sustainable future, the United Nations (UN) has set 17 Sustainable Development Goals (Sustainable Development Goals/SDGs) that are expected to be achieved by 2030 (</w:t>
      </w:r>
      <w:proofErr w:type="spellStart"/>
      <w:r w:rsidRPr="00406E74">
        <w:rPr>
          <w:rFonts w:ascii="Times New Roman" w:hAnsi="Times New Roman" w:cs="Times New Roman"/>
          <w:sz w:val="24"/>
          <w:szCs w:val="24"/>
        </w:rPr>
        <w:t>Muhyidin</w:t>
      </w:r>
      <w:proofErr w:type="spellEnd"/>
      <w:r w:rsidRPr="00406E74">
        <w:rPr>
          <w:rFonts w:ascii="Times New Roman" w:hAnsi="Times New Roman" w:cs="Times New Roman"/>
          <w:sz w:val="24"/>
          <w:szCs w:val="24"/>
        </w:rPr>
        <w:t xml:space="preserve"> et al., 2024). SDG 12 emphasizes responsible consumption and production with the aim of reducing environmental impact and encouraging resource efficiency by changing consumption patterns, sustainable production, and increasing public awareness of an environmentally friendly lifestyle (Francis &amp; Sarangi, 2022; </w:t>
      </w:r>
      <w:proofErr w:type="spellStart"/>
      <w:r w:rsidRPr="00406E74">
        <w:rPr>
          <w:rFonts w:ascii="Times New Roman" w:hAnsi="Times New Roman" w:cs="Times New Roman"/>
          <w:sz w:val="24"/>
          <w:szCs w:val="24"/>
        </w:rPr>
        <w:t>Wardina</w:t>
      </w:r>
      <w:proofErr w:type="spellEnd"/>
      <w:r w:rsidRPr="00406E74">
        <w:rPr>
          <w:rFonts w:ascii="Times New Roman" w:hAnsi="Times New Roman" w:cs="Times New Roman"/>
          <w:sz w:val="24"/>
          <w:szCs w:val="24"/>
        </w:rPr>
        <w:t xml:space="preserve">, 2024). </w:t>
      </w:r>
    </w:p>
    <w:p w14:paraId="5D5038D4" w14:textId="77777777" w:rsidR="00406E74" w:rsidRPr="00406E74" w:rsidRDefault="00406E74" w:rsidP="00406E74">
      <w:pPr>
        <w:autoSpaceDE w:val="0"/>
        <w:autoSpaceDN w:val="0"/>
        <w:adjustRightInd w:val="0"/>
        <w:spacing w:line="259" w:lineRule="atLeast"/>
        <w:ind w:left="426" w:right="288" w:firstLine="567"/>
        <w:jc w:val="both"/>
        <w:rPr>
          <w:rFonts w:ascii="Times New Roman" w:hAnsi="Times New Roman" w:cs="Times New Roman"/>
          <w:sz w:val="24"/>
          <w:szCs w:val="24"/>
        </w:rPr>
      </w:pPr>
      <w:r w:rsidRPr="00406E74">
        <w:rPr>
          <w:rFonts w:ascii="Times New Roman" w:hAnsi="Times New Roman" w:cs="Times New Roman"/>
          <w:sz w:val="24"/>
          <w:szCs w:val="24"/>
        </w:rPr>
        <w:t>Sustainable consumption is influenced by financial literacy, lifestyle, and financial planning of Generation Z. Without a good financial understanding, a consumptive lifestyle can lead to waste. Therefore, good financial literacy and planning help make wise consumption decisions and support sustainability. (</w:t>
      </w:r>
      <w:proofErr w:type="spellStart"/>
      <w:r w:rsidRPr="00406E74">
        <w:rPr>
          <w:rFonts w:ascii="Times New Roman" w:hAnsi="Times New Roman" w:cs="Times New Roman"/>
          <w:sz w:val="24"/>
          <w:szCs w:val="24"/>
        </w:rPr>
        <w:t>BriLatifa</w:t>
      </w:r>
      <w:proofErr w:type="spellEnd"/>
      <w:r w:rsidRPr="00406E74">
        <w:rPr>
          <w:rFonts w:ascii="Times New Roman" w:hAnsi="Times New Roman" w:cs="Times New Roman"/>
          <w:sz w:val="24"/>
          <w:szCs w:val="24"/>
        </w:rPr>
        <w:t xml:space="preserve"> Paramita &amp; Santi Paramita, 2024).</w:t>
      </w:r>
    </w:p>
    <w:p w14:paraId="69A0F62E" w14:textId="77777777" w:rsidR="00406E74" w:rsidRPr="00406E74" w:rsidRDefault="00406E74" w:rsidP="00406E74">
      <w:pPr>
        <w:autoSpaceDE w:val="0"/>
        <w:autoSpaceDN w:val="0"/>
        <w:adjustRightInd w:val="0"/>
        <w:spacing w:line="259" w:lineRule="atLeast"/>
        <w:ind w:left="426" w:right="288" w:firstLine="567"/>
        <w:jc w:val="both"/>
        <w:rPr>
          <w:rFonts w:ascii="Times New Roman" w:hAnsi="Times New Roman" w:cs="Times New Roman"/>
          <w:sz w:val="24"/>
          <w:szCs w:val="24"/>
        </w:rPr>
      </w:pPr>
      <w:r w:rsidRPr="00406E74">
        <w:rPr>
          <w:rFonts w:ascii="Times New Roman" w:hAnsi="Times New Roman" w:cs="Times New Roman"/>
          <w:sz w:val="24"/>
          <w:szCs w:val="24"/>
        </w:rPr>
        <w:t>Financial literacy and sustainable consumption help to deal with climate change and resource scarcity. ESG investments and energy-efficient consumption are financially profitable and have a positive impact on the environment (</w:t>
      </w:r>
      <w:proofErr w:type="spellStart"/>
      <w:r w:rsidRPr="00406E74">
        <w:rPr>
          <w:rFonts w:ascii="Times New Roman" w:hAnsi="Times New Roman" w:cs="Times New Roman"/>
          <w:sz w:val="24"/>
          <w:szCs w:val="24"/>
        </w:rPr>
        <w:t>Yie</w:t>
      </w:r>
      <w:proofErr w:type="spellEnd"/>
      <w:r w:rsidRPr="00406E74">
        <w:rPr>
          <w:rFonts w:ascii="Times New Roman" w:hAnsi="Times New Roman" w:cs="Times New Roman"/>
          <w:sz w:val="24"/>
          <w:szCs w:val="24"/>
        </w:rPr>
        <w:t xml:space="preserve"> &amp; Wen, 2024). For Generation Z, financial literacy helps them make more sustainable consumption decisions by choosing products that have a positive impact on the environment (Francis &amp; Sarangi, 2022; </w:t>
      </w:r>
      <w:proofErr w:type="spellStart"/>
      <w:r w:rsidRPr="00406E74">
        <w:rPr>
          <w:rFonts w:ascii="Times New Roman" w:hAnsi="Times New Roman" w:cs="Times New Roman"/>
          <w:sz w:val="24"/>
          <w:szCs w:val="24"/>
        </w:rPr>
        <w:t>Wardina</w:t>
      </w:r>
      <w:proofErr w:type="spellEnd"/>
      <w:r w:rsidRPr="00406E74">
        <w:rPr>
          <w:rFonts w:ascii="Times New Roman" w:hAnsi="Times New Roman" w:cs="Times New Roman"/>
          <w:sz w:val="24"/>
          <w:szCs w:val="24"/>
        </w:rPr>
        <w:t xml:space="preserve">, 2024). </w:t>
      </w:r>
    </w:p>
    <w:p w14:paraId="5F112265" w14:textId="77777777" w:rsidR="00406E74" w:rsidRPr="00406E74" w:rsidRDefault="00406E74" w:rsidP="00406E74">
      <w:pPr>
        <w:autoSpaceDE w:val="0"/>
        <w:autoSpaceDN w:val="0"/>
        <w:adjustRightInd w:val="0"/>
        <w:spacing w:line="259" w:lineRule="atLeast"/>
        <w:ind w:left="426" w:right="288" w:firstLine="567"/>
        <w:jc w:val="both"/>
        <w:rPr>
          <w:rFonts w:ascii="Times New Roman" w:hAnsi="Times New Roman" w:cs="Times New Roman"/>
          <w:sz w:val="24"/>
          <w:szCs w:val="24"/>
        </w:rPr>
      </w:pPr>
      <w:r w:rsidRPr="00406E74">
        <w:rPr>
          <w:rFonts w:ascii="Times New Roman" w:hAnsi="Times New Roman" w:cs="Times New Roman"/>
          <w:sz w:val="24"/>
          <w:szCs w:val="24"/>
        </w:rPr>
        <w:t>Financial education is essential for sustainable financial management. The economic model emphasizes consumption decisions based on long-term resources and expectations, rather than just current income, thus encouraging saving habits and financial stability (</w:t>
      </w:r>
      <w:proofErr w:type="spellStart"/>
      <w:r w:rsidRPr="00406E74">
        <w:rPr>
          <w:rFonts w:ascii="Times New Roman" w:hAnsi="Times New Roman" w:cs="Times New Roman"/>
          <w:sz w:val="24"/>
          <w:szCs w:val="24"/>
        </w:rPr>
        <w:t>Fitri</w:t>
      </w:r>
      <w:proofErr w:type="spellEnd"/>
      <w:r w:rsidRPr="00406E74">
        <w:rPr>
          <w:rFonts w:ascii="Times New Roman" w:hAnsi="Times New Roman" w:cs="Times New Roman"/>
          <w:sz w:val="24"/>
          <w:szCs w:val="24"/>
        </w:rPr>
        <w:t xml:space="preserve">, 2023). Indonesia is currently experiencing a demographic bonus with 182 million people of productive age (Central Statistics Agency, 2024). The financial literacy index reached 65.43% and financial inclusion reached 75.02% (Central Statistics Agency, 2024), but Indonesia is still ranked 100th globally, behind the Philippines (88), Brunei (86), and Singapore (84). </w:t>
      </w:r>
    </w:p>
    <w:p w14:paraId="2F6154CF" w14:textId="77777777" w:rsidR="00406E74" w:rsidRPr="00406E74" w:rsidRDefault="00406E74" w:rsidP="00406E74">
      <w:pPr>
        <w:autoSpaceDE w:val="0"/>
        <w:autoSpaceDN w:val="0"/>
        <w:adjustRightInd w:val="0"/>
        <w:spacing w:line="259" w:lineRule="atLeast"/>
        <w:ind w:left="426" w:right="288" w:firstLine="567"/>
        <w:jc w:val="both"/>
        <w:rPr>
          <w:rFonts w:ascii="Times New Roman" w:hAnsi="Times New Roman" w:cs="Times New Roman"/>
          <w:sz w:val="24"/>
          <w:szCs w:val="24"/>
        </w:rPr>
      </w:pPr>
      <w:r w:rsidRPr="00406E74">
        <w:rPr>
          <w:rFonts w:ascii="Times New Roman" w:hAnsi="Times New Roman" w:cs="Times New Roman"/>
          <w:sz w:val="24"/>
          <w:szCs w:val="24"/>
        </w:rPr>
        <w:t xml:space="preserve">Digital finance makes it easier for Gen Z to manage money and choose products wisely, considering environmental impact. Payment apps and social media support sustainable lifestyles and create social pressure for eco-friendly consumption. (Francis &amp; Sarangi, 2022). As many as 78% of Generation Z invest in sustainable products through digital platforms. Of Indonesia's 278.7 million population (2023), 27.94% are Gen Z, who are known to be technologically literate, active in social media, e-commerce, and have </w:t>
      </w:r>
      <w:proofErr w:type="spellStart"/>
      <w:r w:rsidRPr="00406E74">
        <w:rPr>
          <w:rFonts w:ascii="Times New Roman" w:hAnsi="Times New Roman" w:cs="Times New Roman"/>
          <w:sz w:val="24"/>
          <w:szCs w:val="24"/>
        </w:rPr>
        <w:t>figital</w:t>
      </w:r>
      <w:proofErr w:type="spellEnd"/>
      <w:r w:rsidRPr="00406E74">
        <w:rPr>
          <w:rFonts w:ascii="Times New Roman" w:hAnsi="Times New Roman" w:cs="Times New Roman"/>
          <w:sz w:val="24"/>
          <w:szCs w:val="24"/>
        </w:rPr>
        <w:t xml:space="preserve"> and FOMO characters. (</w:t>
      </w:r>
      <w:proofErr w:type="spellStart"/>
      <w:r w:rsidRPr="00406E74">
        <w:rPr>
          <w:rFonts w:ascii="Times New Roman" w:hAnsi="Times New Roman" w:cs="Times New Roman"/>
          <w:sz w:val="24"/>
          <w:szCs w:val="24"/>
        </w:rPr>
        <w:t>Mahasanti</w:t>
      </w:r>
      <w:proofErr w:type="spellEnd"/>
      <w:r w:rsidRPr="00406E74">
        <w:rPr>
          <w:rFonts w:ascii="Times New Roman" w:hAnsi="Times New Roman" w:cs="Times New Roman"/>
          <w:sz w:val="24"/>
          <w:szCs w:val="24"/>
        </w:rPr>
        <w:t xml:space="preserve"> &amp; </w:t>
      </w:r>
      <w:proofErr w:type="spellStart"/>
      <w:r w:rsidRPr="00406E74">
        <w:rPr>
          <w:rFonts w:ascii="Times New Roman" w:hAnsi="Times New Roman" w:cs="Times New Roman"/>
          <w:sz w:val="24"/>
          <w:szCs w:val="24"/>
        </w:rPr>
        <w:t>Asandimitra</w:t>
      </w:r>
      <w:proofErr w:type="spellEnd"/>
      <w:r w:rsidRPr="00406E74">
        <w:rPr>
          <w:rFonts w:ascii="Times New Roman" w:hAnsi="Times New Roman" w:cs="Times New Roman"/>
          <w:sz w:val="24"/>
          <w:szCs w:val="24"/>
        </w:rPr>
        <w:t>, 2024). Apps like budgeting apps helping Generation Z track spending and ensure that their budget is allocated to needs relevant to sustainability principles (Mehrotra et al., 2024). Generation Z uses financial apps to manage budgets, track expenses, and support sustainability goals through funding pooling (</w:t>
      </w:r>
      <w:proofErr w:type="spellStart"/>
      <w:r w:rsidRPr="00406E74">
        <w:rPr>
          <w:rFonts w:ascii="Times New Roman" w:hAnsi="Times New Roman" w:cs="Times New Roman"/>
          <w:sz w:val="24"/>
          <w:szCs w:val="24"/>
        </w:rPr>
        <w:t>Wardina</w:t>
      </w:r>
      <w:proofErr w:type="spellEnd"/>
      <w:r w:rsidRPr="00406E74">
        <w:rPr>
          <w:rFonts w:ascii="Times New Roman" w:hAnsi="Times New Roman" w:cs="Times New Roman"/>
          <w:sz w:val="24"/>
          <w:szCs w:val="24"/>
        </w:rPr>
        <w:t>, 2024).</w:t>
      </w:r>
    </w:p>
    <w:p w14:paraId="43FF540D" w14:textId="77777777" w:rsidR="00406E74" w:rsidRPr="00406E74" w:rsidRDefault="00406E74" w:rsidP="00406E74">
      <w:pPr>
        <w:autoSpaceDE w:val="0"/>
        <w:autoSpaceDN w:val="0"/>
        <w:adjustRightInd w:val="0"/>
        <w:spacing w:line="259" w:lineRule="atLeast"/>
        <w:ind w:left="426" w:right="288" w:firstLine="567"/>
        <w:jc w:val="both"/>
        <w:rPr>
          <w:rFonts w:ascii="Times New Roman" w:hAnsi="Times New Roman" w:cs="Times New Roman"/>
          <w:sz w:val="24"/>
          <w:szCs w:val="24"/>
        </w:rPr>
      </w:pPr>
      <w:r w:rsidRPr="00406E74">
        <w:rPr>
          <w:rFonts w:ascii="Times New Roman" w:hAnsi="Times New Roman" w:cs="Times New Roman"/>
          <w:sz w:val="24"/>
          <w:szCs w:val="24"/>
        </w:rPr>
        <w:t>Environmental awareness encourages Gen Z to choose eco-friendly products, but higher prices are a challenge. Further understanding of how their financial management supports or hinders sustainable consumption is needed.</w:t>
      </w:r>
    </w:p>
    <w:p w14:paraId="3548622C" w14:textId="77777777" w:rsidR="00406E74" w:rsidRPr="00406E74" w:rsidRDefault="00406E74" w:rsidP="00406E74">
      <w:pPr>
        <w:autoSpaceDE w:val="0"/>
        <w:autoSpaceDN w:val="0"/>
        <w:adjustRightInd w:val="0"/>
        <w:spacing w:line="259" w:lineRule="atLeast"/>
        <w:ind w:left="426" w:right="288" w:firstLine="567"/>
        <w:jc w:val="both"/>
        <w:rPr>
          <w:rFonts w:ascii="Times New Roman" w:hAnsi="Times New Roman" w:cs="Times New Roman"/>
          <w:sz w:val="24"/>
          <w:szCs w:val="24"/>
        </w:rPr>
      </w:pPr>
      <w:r w:rsidRPr="00406E74">
        <w:rPr>
          <w:rFonts w:ascii="Times New Roman" w:hAnsi="Times New Roman" w:cs="Times New Roman"/>
          <w:sz w:val="24"/>
          <w:szCs w:val="24"/>
        </w:rPr>
        <w:t xml:space="preserve">State of the art in this study describes the latest developments regarding sustainable consumption, financial literacy, and personal financial management among Generation Z. This research fills the gap by integrating social and environmental impacts in Generation Z's financial decisions and discusses the role of financial literacy and digital technology in </w:t>
      </w:r>
      <w:r w:rsidRPr="00406E74">
        <w:rPr>
          <w:rFonts w:ascii="Times New Roman" w:hAnsi="Times New Roman" w:cs="Times New Roman"/>
          <w:sz w:val="24"/>
          <w:szCs w:val="24"/>
        </w:rPr>
        <w:lastRenderedPageBreak/>
        <w:t xml:space="preserve">more depth. Previous research, such as </w:t>
      </w:r>
      <w:proofErr w:type="spellStart"/>
      <w:r w:rsidRPr="00406E74">
        <w:rPr>
          <w:rFonts w:ascii="Times New Roman" w:hAnsi="Times New Roman" w:cs="Times New Roman"/>
          <w:sz w:val="24"/>
          <w:szCs w:val="24"/>
        </w:rPr>
        <w:t>Pratminingsih's</w:t>
      </w:r>
      <w:proofErr w:type="spellEnd"/>
      <w:r w:rsidRPr="00406E74">
        <w:rPr>
          <w:rFonts w:ascii="Times New Roman" w:hAnsi="Times New Roman" w:cs="Times New Roman"/>
          <w:sz w:val="24"/>
          <w:szCs w:val="24"/>
        </w:rPr>
        <w:t xml:space="preserve">, has discussed sustainable consumption in general, but rarely focused on Generation Z. Generation Z is more concerned about environmental and social issues, so they prefer environmentally friendly investments and consumption, such as green products, ESG-based investments, and organic products. This research fills the gap by highlighting how Generation Z's financial priorities align with Sustainable Development Goals (SDG) 12, which focuses on </w:t>
      </w:r>
      <w:proofErr w:type="gramStart"/>
      <w:r w:rsidRPr="00406E74">
        <w:rPr>
          <w:rFonts w:ascii="Times New Roman" w:hAnsi="Times New Roman" w:cs="Times New Roman"/>
          <w:sz w:val="24"/>
          <w:szCs w:val="24"/>
        </w:rPr>
        <w:t>sustainability(</w:t>
      </w:r>
      <w:proofErr w:type="gramEnd"/>
      <w:r w:rsidRPr="00406E74">
        <w:rPr>
          <w:rFonts w:ascii="Times New Roman" w:hAnsi="Times New Roman" w:cs="Times New Roman"/>
          <w:sz w:val="24"/>
          <w:szCs w:val="24"/>
        </w:rPr>
        <w:t xml:space="preserve">Francis &amp; Sarangi, 2022; </w:t>
      </w:r>
      <w:proofErr w:type="spellStart"/>
      <w:r w:rsidRPr="00406E74">
        <w:rPr>
          <w:rFonts w:ascii="Times New Roman" w:hAnsi="Times New Roman" w:cs="Times New Roman"/>
          <w:sz w:val="24"/>
          <w:szCs w:val="24"/>
        </w:rPr>
        <w:t>Wardina</w:t>
      </w:r>
      <w:proofErr w:type="spellEnd"/>
      <w:r w:rsidRPr="00406E74">
        <w:rPr>
          <w:rFonts w:ascii="Times New Roman" w:hAnsi="Times New Roman" w:cs="Times New Roman"/>
          <w:sz w:val="24"/>
          <w:szCs w:val="24"/>
        </w:rPr>
        <w:t>, 2024)</w:t>
      </w:r>
    </w:p>
    <w:p w14:paraId="34EAF798" w14:textId="77777777" w:rsidR="00406E74" w:rsidRPr="00406E74" w:rsidRDefault="00406E74" w:rsidP="00406E74">
      <w:pPr>
        <w:autoSpaceDE w:val="0"/>
        <w:autoSpaceDN w:val="0"/>
        <w:adjustRightInd w:val="0"/>
        <w:spacing w:line="259" w:lineRule="atLeast"/>
        <w:ind w:left="426" w:right="288" w:firstLine="567"/>
        <w:jc w:val="both"/>
        <w:rPr>
          <w:rFonts w:ascii="Times New Roman" w:hAnsi="Times New Roman" w:cs="Times New Roman"/>
          <w:sz w:val="24"/>
          <w:szCs w:val="24"/>
        </w:rPr>
      </w:pPr>
      <w:r w:rsidRPr="00406E74">
        <w:rPr>
          <w:rFonts w:ascii="Times New Roman" w:hAnsi="Times New Roman" w:cs="Times New Roman"/>
          <w:sz w:val="24"/>
          <w:szCs w:val="24"/>
        </w:rPr>
        <w:t>The Importance of Financial Literacy for Sustainable Decisions: Although financial literacy is often studied in the context of personal financial management, there is rarely research that addresses its relationship to environmentally friendly consumption decisions. This research fills this gap by showing how financial literacy can influence wiser decisions, especially in sustainable consumption and investments that support environmental sustainability (</w:t>
      </w:r>
      <w:proofErr w:type="spellStart"/>
      <w:r w:rsidRPr="00406E74">
        <w:rPr>
          <w:rFonts w:ascii="Times New Roman" w:hAnsi="Times New Roman" w:cs="Times New Roman"/>
          <w:sz w:val="24"/>
          <w:szCs w:val="24"/>
        </w:rPr>
        <w:t>BriLatifa</w:t>
      </w:r>
      <w:proofErr w:type="spellEnd"/>
      <w:r w:rsidRPr="00406E74">
        <w:rPr>
          <w:rFonts w:ascii="Times New Roman" w:hAnsi="Times New Roman" w:cs="Times New Roman"/>
          <w:sz w:val="24"/>
          <w:szCs w:val="24"/>
        </w:rPr>
        <w:t xml:space="preserve"> Paramita &amp; Santi Paramita, 2024; </w:t>
      </w:r>
      <w:proofErr w:type="spellStart"/>
      <w:r w:rsidRPr="00406E74">
        <w:rPr>
          <w:rFonts w:ascii="Times New Roman" w:hAnsi="Times New Roman" w:cs="Times New Roman"/>
          <w:sz w:val="24"/>
          <w:szCs w:val="24"/>
        </w:rPr>
        <w:t>Fitri</w:t>
      </w:r>
      <w:proofErr w:type="spellEnd"/>
      <w:r w:rsidRPr="00406E74">
        <w:rPr>
          <w:rFonts w:ascii="Times New Roman" w:hAnsi="Times New Roman" w:cs="Times New Roman"/>
          <w:sz w:val="24"/>
          <w:szCs w:val="24"/>
        </w:rPr>
        <w:t xml:space="preserve">, 2023). </w:t>
      </w:r>
    </w:p>
    <w:p w14:paraId="3529523E" w14:textId="77777777" w:rsidR="00406E74" w:rsidRPr="00406E74" w:rsidRDefault="00406E74" w:rsidP="00406E74">
      <w:pPr>
        <w:autoSpaceDE w:val="0"/>
        <w:autoSpaceDN w:val="0"/>
        <w:adjustRightInd w:val="0"/>
        <w:spacing w:line="259" w:lineRule="atLeast"/>
        <w:ind w:left="426" w:right="288" w:firstLine="567"/>
        <w:jc w:val="both"/>
        <w:rPr>
          <w:rFonts w:ascii="Times New Roman" w:hAnsi="Times New Roman" w:cs="Times New Roman"/>
          <w:sz w:val="24"/>
          <w:szCs w:val="24"/>
        </w:rPr>
      </w:pPr>
      <w:r w:rsidRPr="00406E74">
        <w:rPr>
          <w:rFonts w:ascii="Times New Roman" w:hAnsi="Times New Roman" w:cs="Times New Roman"/>
          <w:sz w:val="24"/>
          <w:szCs w:val="24"/>
        </w:rPr>
        <w:t>The Role of Technology and Digital Finance: digital finance plays an important role in supporting Generation Z to monitor their spending more efficiently, as well as choose environmentally friendly investments (Francis &amp; Sarangi, 2022; Mehrotra et al., 2024).</w:t>
      </w:r>
    </w:p>
    <w:p w14:paraId="0D44EE11" w14:textId="77777777" w:rsidR="00406E74" w:rsidRPr="00406E74" w:rsidRDefault="00406E74" w:rsidP="00406E74">
      <w:pPr>
        <w:autoSpaceDE w:val="0"/>
        <w:autoSpaceDN w:val="0"/>
        <w:adjustRightInd w:val="0"/>
        <w:spacing w:line="259" w:lineRule="atLeast"/>
        <w:ind w:left="426" w:right="288" w:firstLine="567"/>
        <w:jc w:val="both"/>
        <w:rPr>
          <w:rFonts w:ascii="Times New Roman" w:hAnsi="Times New Roman" w:cs="Times New Roman"/>
          <w:sz w:val="24"/>
          <w:szCs w:val="24"/>
        </w:rPr>
      </w:pPr>
      <w:r w:rsidRPr="00406E74">
        <w:rPr>
          <w:rFonts w:ascii="Times New Roman" w:hAnsi="Times New Roman" w:cs="Times New Roman"/>
          <w:sz w:val="24"/>
          <w:szCs w:val="24"/>
        </w:rPr>
        <w:t xml:space="preserve">The Influence of Digital Financial Literacy: In the digital era, digital financial literacy has become important, but previous research has focused more on traditional financial literacy. This research fills the gap by showing how digital financial literacy helps Generation Z manage finances better, leverage digital platforms for green product research, and understand the risks and benefits of ESG-based investments (Ali et al., 2024). </w:t>
      </w:r>
    </w:p>
    <w:p w14:paraId="286DB7FA" w14:textId="77777777" w:rsidR="00406E74" w:rsidRPr="00406E74" w:rsidRDefault="00406E74" w:rsidP="00406E74">
      <w:pPr>
        <w:autoSpaceDE w:val="0"/>
        <w:autoSpaceDN w:val="0"/>
        <w:adjustRightInd w:val="0"/>
        <w:spacing w:line="259" w:lineRule="atLeast"/>
        <w:ind w:left="426" w:right="288" w:firstLine="567"/>
        <w:jc w:val="both"/>
        <w:rPr>
          <w:rFonts w:ascii="Times New Roman" w:hAnsi="Times New Roman" w:cs="Times New Roman"/>
          <w:sz w:val="24"/>
          <w:szCs w:val="24"/>
        </w:rPr>
      </w:pPr>
      <w:r w:rsidRPr="00406E74">
        <w:rPr>
          <w:rFonts w:ascii="Times New Roman" w:hAnsi="Times New Roman" w:cs="Times New Roman"/>
          <w:sz w:val="24"/>
          <w:szCs w:val="24"/>
        </w:rPr>
        <w:t>Indonesia's Demographic Conditions: Previous research focused more on global contexts or developed countries, while this study highlighted Indonesia's potential, with a digitally connected Generation Z population. This research fills the gap by showing how Indonesia's social and economic conditions can accelerate the adoption of sustainable behavior among Generation Z. (</w:t>
      </w:r>
      <w:proofErr w:type="spellStart"/>
      <w:r w:rsidRPr="00406E74">
        <w:rPr>
          <w:rFonts w:ascii="Times New Roman" w:hAnsi="Times New Roman" w:cs="Times New Roman"/>
          <w:sz w:val="24"/>
          <w:szCs w:val="24"/>
        </w:rPr>
        <w:t>Mahasanti</w:t>
      </w:r>
      <w:proofErr w:type="spellEnd"/>
      <w:r w:rsidRPr="00406E74">
        <w:rPr>
          <w:rFonts w:ascii="Times New Roman" w:hAnsi="Times New Roman" w:cs="Times New Roman"/>
          <w:sz w:val="24"/>
          <w:szCs w:val="24"/>
        </w:rPr>
        <w:t xml:space="preserve"> &amp; </w:t>
      </w:r>
      <w:proofErr w:type="spellStart"/>
      <w:r w:rsidRPr="00406E74">
        <w:rPr>
          <w:rFonts w:ascii="Times New Roman" w:hAnsi="Times New Roman" w:cs="Times New Roman"/>
          <w:sz w:val="24"/>
          <w:szCs w:val="24"/>
        </w:rPr>
        <w:t>Asandimitra</w:t>
      </w:r>
      <w:proofErr w:type="spellEnd"/>
      <w:r w:rsidRPr="00406E74">
        <w:rPr>
          <w:rFonts w:ascii="Times New Roman" w:hAnsi="Times New Roman" w:cs="Times New Roman"/>
          <w:sz w:val="24"/>
          <w:szCs w:val="24"/>
        </w:rPr>
        <w:t>, 2024).</w:t>
      </w:r>
    </w:p>
    <w:p w14:paraId="1437B555" w14:textId="43D5E17A" w:rsidR="00406E74" w:rsidRDefault="00406E74" w:rsidP="00406E74">
      <w:pPr>
        <w:autoSpaceDE w:val="0"/>
        <w:autoSpaceDN w:val="0"/>
        <w:adjustRightInd w:val="0"/>
        <w:spacing w:line="259" w:lineRule="atLeast"/>
        <w:ind w:left="426" w:right="288" w:firstLine="567"/>
        <w:jc w:val="both"/>
        <w:rPr>
          <w:rFonts w:ascii="Times New Roman" w:hAnsi="Times New Roman" w:cs="Times New Roman"/>
          <w:sz w:val="24"/>
          <w:szCs w:val="24"/>
        </w:rPr>
      </w:pPr>
      <w:r w:rsidRPr="00406E74">
        <w:rPr>
          <w:rFonts w:ascii="Times New Roman" w:hAnsi="Times New Roman" w:cs="Times New Roman"/>
          <w:sz w:val="24"/>
          <w:szCs w:val="24"/>
        </w:rPr>
        <w:t>This research contributes by proposing a sustainable financial decision model for Generation Z that integrates financial literacy, digital technology, and environmental awareness. In addition, this study develops a digital financial literacy framework that supports environmentally friendly investment decisions. This contribution fills in the gaps in the literature and offers a model that is more relevant to the characteristics of Generation Z and the digital world today</w:t>
      </w:r>
      <w:r>
        <w:rPr>
          <w:rFonts w:ascii="Times New Roman" w:hAnsi="Times New Roman" w:cs="Times New Roman"/>
          <w:sz w:val="24"/>
          <w:szCs w:val="24"/>
        </w:rPr>
        <w:t xml:space="preserve">. </w:t>
      </w:r>
    </w:p>
    <w:p w14:paraId="7F37DEB5" w14:textId="77777777" w:rsidR="00406E74" w:rsidRPr="00406E74" w:rsidRDefault="00406E74" w:rsidP="00406E74">
      <w:pPr>
        <w:autoSpaceDE w:val="0"/>
        <w:autoSpaceDN w:val="0"/>
        <w:adjustRightInd w:val="0"/>
        <w:spacing w:line="259" w:lineRule="atLeast"/>
        <w:ind w:left="426" w:right="288"/>
        <w:jc w:val="both"/>
        <w:rPr>
          <w:rFonts w:ascii="Times New Roman" w:hAnsi="Times New Roman" w:cs="Times New Roman"/>
          <w:sz w:val="24"/>
          <w:szCs w:val="24"/>
        </w:rPr>
      </w:pPr>
    </w:p>
    <w:p w14:paraId="21C18CCA" w14:textId="61B26659" w:rsidR="00F04BE4" w:rsidRDefault="00F04BE4" w:rsidP="006C773A">
      <w:pPr>
        <w:autoSpaceDE w:val="0"/>
        <w:autoSpaceDN w:val="0"/>
        <w:adjustRightInd w:val="0"/>
        <w:spacing w:line="259" w:lineRule="atLeast"/>
        <w:ind w:left="426" w:right="288"/>
        <w:jc w:val="both"/>
        <w:rPr>
          <w:rFonts w:ascii="Times New Roman" w:hAnsi="Times New Roman" w:cs="Times New Roman"/>
          <w:b/>
          <w:bCs/>
          <w:kern w:val="0"/>
          <w:sz w:val="24"/>
          <w:szCs w:val="24"/>
          <w:lang w:val="en"/>
        </w:rPr>
      </w:pPr>
      <w:r>
        <w:rPr>
          <w:rFonts w:ascii="Times New Roman" w:hAnsi="Times New Roman" w:cs="Times New Roman"/>
          <w:b/>
          <w:bCs/>
          <w:kern w:val="0"/>
          <w:sz w:val="24"/>
          <w:szCs w:val="24"/>
          <w:lang w:val="en"/>
        </w:rPr>
        <w:t xml:space="preserve">LITERATURE REVIEW </w:t>
      </w:r>
    </w:p>
    <w:p w14:paraId="140D4EF5" w14:textId="5D9AD2B0" w:rsidR="0003688B" w:rsidRDefault="0003688B" w:rsidP="006C773A">
      <w:pPr>
        <w:autoSpaceDE w:val="0"/>
        <w:autoSpaceDN w:val="0"/>
        <w:adjustRightInd w:val="0"/>
        <w:spacing w:line="259" w:lineRule="atLeast"/>
        <w:ind w:left="426" w:right="288"/>
        <w:jc w:val="both"/>
        <w:rPr>
          <w:rFonts w:ascii="Times New Roman" w:hAnsi="Times New Roman" w:cs="Times New Roman"/>
          <w:b/>
          <w:bCs/>
          <w:kern w:val="0"/>
          <w:sz w:val="24"/>
          <w:szCs w:val="24"/>
          <w:lang w:val="en"/>
        </w:rPr>
      </w:pPr>
    </w:p>
    <w:p w14:paraId="5314A5C3" w14:textId="77777777" w:rsidR="003602A8" w:rsidRPr="003602A8" w:rsidRDefault="003602A8" w:rsidP="003602A8">
      <w:pPr>
        <w:autoSpaceDE w:val="0"/>
        <w:autoSpaceDN w:val="0"/>
        <w:adjustRightInd w:val="0"/>
        <w:spacing w:line="259" w:lineRule="atLeast"/>
        <w:ind w:left="426" w:right="288" w:firstLine="567"/>
        <w:jc w:val="both"/>
        <w:rPr>
          <w:rFonts w:ascii="Times New Roman" w:hAnsi="Times New Roman" w:cs="Times New Roman"/>
          <w:bCs/>
          <w:kern w:val="0"/>
          <w:sz w:val="24"/>
          <w:szCs w:val="24"/>
          <w:lang w:val="en"/>
        </w:rPr>
      </w:pPr>
      <w:r w:rsidRPr="003602A8">
        <w:rPr>
          <w:rFonts w:ascii="Times New Roman" w:hAnsi="Times New Roman" w:cs="Times New Roman"/>
          <w:bCs/>
          <w:kern w:val="0"/>
          <w:sz w:val="24"/>
          <w:szCs w:val="24"/>
          <w:lang w:val="en"/>
        </w:rPr>
        <w:t xml:space="preserve">Generation Z has occupied an important position in the discourse on sustainable consumption. This generation is known to have a higher social and environmental awareness than previous generations, and shows a tendency to integrate sustainability values into their consumption decisions. The </w:t>
      </w:r>
      <w:proofErr w:type="spellStart"/>
      <w:r w:rsidRPr="003602A8">
        <w:rPr>
          <w:rFonts w:ascii="Times New Roman" w:hAnsi="Times New Roman" w:cs="Times New Roman"/>
          <w:bCs/>
          <w:kern w:val="0"/>
          <w:sz w:val="24"/>
          <w:szCs w:val="24"/>
          <w:lang w:val="en"/>
        </w:rPr>
        <w:t>Theocharis</w:t>
      </w:r>
      <w:proofErr w:type="spellEnd"/>
      <w:r w:rsidRPr="003602A8">
        <w:rPr>
          <w:rFonts w:ascii="Times New Roman" w:hAnsi="Times New Roman" w:cs="Times New Roman"/>
          <w:bCs/>
          <w:kern w:val="0"/>
          <w:sz w:val="24"/>
          <w:szCs w:val="24"/>
          <w:lang w:val="en"/>
        </w:rPr>
        <w:t xml:space="preserve"> and </w:t>
      </w:r>
      <w:proofErr w:type="spellStart"/>
      <w:r w:rsidRPr="003602A8">
        <w:rPr>
          <w:rFonts w:ascii="Times New Roman" w:hAnsi="Times New Roman" w:cs="Times New Roman"/>
          <w:bCs/>
          <w:kern w:val="0"/>
          <w:sz w:val="24"/>
          <w:szCs w:val="24"/>
          <w:lang w:val="en"/>
        </w:rPr>
        <w:t>Tsekouropoulos</w:t>
      </w:r>
      <w:proofErr w:type="spellEnd"/>
      <w:r w:rsidRPr="003602A8">
        <w:rPr>
          <w:rFonts w:ascii="Times New Roman" w:hAnsi="Times New Roman" w:cs="Times New Roman"/>
          <w:bCs/>
          <w:kern w:val="0"/>
          <w:sz w:val="24"/>
          <w:szCs w:val="24"/>
          <w:lang w:val="en"/>
        </w:rPr>
        <w:t xml:space="preserve"> study (2025) shows that Generation Z prefers brands and products that show a commitment to the environment, such as eco-friendly products, organic products, and ESG (Environmental, Social, and Governance) based services. This is in line with the results of research by </w:t>
      </w:r>
      <w:proofErr w:type="spellStart"/>
      <w:r w:rsidRPr="003602A8">
        <w:rPr>
          <w:rFonts w:ascii="Times New Roman" w:hAnsi="Times New Roman" w:cs="Times New Roman"/>
          <w:bCs/>
          <w:kern w:val="0"/>
          <w:sz w:val="24"/>
          <w:szCs w:val="24"/>
          <w:lang w:val="en"/>
        </w:rPr>
        <w:t>Surmacz</w:t>
      </w:r>
      <w:proofErr w:type="spellEnd"/>
      <w:r w:rsidRPr="003602A8">
        <w:rPr>
          <w:rFonts w:ascii="Times New Roman" w:hAnsi="Times New Roman" w:cs="Times New Roman"/>
          <w:bCs/>
          <w:kern w:val="0"/>
          <w:sz w:val="24"/>
          <w:szCs w:val="24"/>
          <w:lang w:val="en"/>
        </w:rPr>
        <w:t xml:space="preserve"> et al. (2024) which found that Generation Z in developing countries tends to use a sharing economy consumption model and avoid extravagant consumption patterns as a form of contribution to sustainability. This attitude is becoming increasingly relevant in the context of Sustainable Development Goals (SDG) 12 on responsible consumption and </w:t>
      </w:r>
      <w:r w:rsidRPr="003602A8">
        <w:rPr>
          <w:rFonts w:ascii="Times New Roman" w:hAnsi="Times New Roman" w:cs="Times New Roman"/>
          <w:bCs/>
          <w:kern w:val="0"/>
          <w:sz w:val="24"/>
          <w:szCs w:val="24"/>
          <w:lang w:val="en"/>
        </w:rPr>
        <w:lastRenderedPageBreak/>
        <w:t>production. Therefore, it is important to understand the factors that affect sustainable consumption among Generation Z, especially in the context of developing countries such as Indonesia.</w:t>
      </w:r>
    </w:p>
    <w:p w14:paraId="5A281729" w14:textId="77777777" w:rsidR="003602A8" w:rsidRPr="003602A8" w:rsidRDefault="003602A8" w:rsidP="003602A8">
      <w:pPr>
        <w:autoSpaceDE w:val="0"/>
        <w:autoSpaceDN w:val="0"/>
        <w:adjustRightInd w:val="0"/>
        <w:spacing w:line="259" w:lineRule="atLeast"/>
        <w:ind w:left="426" w:right="288" w:firstLine="567"/>
        <w:jc w:val="both"/>
        <w:rPr>
          <w:rFonts w:ascii="Times New Roman" w:hAnsi="Times New Roman" w:cs="Times New Roman"/>
          <w:bCs/>
          <w:kern w:val="0"/>
          <w:sz w:val="24"/>
          <w:szCs w:val="24"/>
          <w:lang w:val="en"/>
        </w:rPr>
      </w:pPr>
      <w:r w:rsidRPr="003602A8">
        <w:rPr>
          <w:rFonts w:ascii="Times New Roman" w:hAnsi="Times New Roman" w:cs="Times New Roman"/>
          <w:bCs/>
          <w:kern w:val="0"/>
          <w:sz w:val="24"/>
          <w:szCs w:val="24"/>
          <w:lang w:val="en"/>
        </w:rPr>
        <w:t xml:space="preserve">One of the main factors influencing sustainable consumption is financial literacy. Financial literacy is not only concerned with a person's ability to understand and manage personal finances, but also includes the capacity to make responsible and future-oriented financial decisions. Lusardi and Mitchell (2021), in their extensive study in the Journal of Economic Behavior &amp; Organization, emphasized that a high level of financial literacy is positively correlated with sustainable investment decision-making. This literacy allows individuals to evaluate risks, understand the long-term impacts of financial choices, and avoid ecologically harmful consumptive behaviors. </w:t>
      </w:r>
      <w:proofErr w:type="spellStart"/>
      <w:r w:rsidRPr="003602A8">
        <w:rPr>
          <w:rFonts w:ascii="Times New Roman" w:hAnsi="Times New Roman" w:cs="Times New Roman"/>
          <w:bCs/>
          <w:kern w:val="0"/>
          <w:sz w:val="24"/>
          <w:szCs w:val="24"/>
          <w:lang w:val="en"/>
        </w:rPr>
        <w:t>Canoğlu</w:t>
      </w:r>
      <w:proofErr w:type="spellEnd"/>
      <w:r w:rsidRPr="003602A8">
        <w:rPr>
          <w:rFonts w:ascii="Times New Roman" w:hAnsi="Times New Roman" w:cs="Times New Roman"/>
          <w:bCs/>
          <w:kern w:val="0"/>
          <w:sz w:val="24"/>
          <w:szCs w:val="24"/>
          <w:lang w:val="en"/>
        </w:rPr>
        <w:t xml:space="preserve"> and </w:t>
      </w:r>
      <w:proofErr w:type="spellStart"/>
      <w:r w:rsidRPr="003602A8">
        <w:rPr>
          <w:rFonts w:ascii="Times New Roman" w:hAnsi="Times New Roman" w:cs="Times New Roman"/>
          <w:bCs/>
          <w:kern w:val="0"/>
          <w:sz w:val="24"/>
          <w:szCs w:val="24"/>
          <w:lang w:val="en"/>
        </w:rPr>
        <w:t>Üstüner</w:t>
      </w:r>
      <w:proofErr w:type="spellEnd"/>
      <w:r w:rsidRPr="003602A8">
        <w:rPr>
          <w:rFonts w:ascii="Times New Roman" w:hAnsi="Times New Roman" w:cs="Times New Roman"/>
          <w:bCs/>
          <w:kern w:val="0"/>
          <w:sz w:val="24"/>
          <w:szCs w:val="24"/>
          <w:lang w:val="en"/>
        </w:rPr>
        <w:t xml:space="preserve"> (2025) also added that environmental awareness supported by good financial knowledge is an important basis in shaping sustainable consumption norms among Generation Z. These findings are reinforced by the </w:t>
      </w:r>
      <w:proofErr w:type="spellStart"/>
      <w:r w:rsidRPr="003602A8">
        <w:rPr>
          <w:rFonts w:ascii="Times New Roman" w:hAnsi="Times New Roman" w:cs="Times New Roman"/>
          <w:bCs/>
          <w:kern w:val="0"/>
          <w:sz w:val="24"/>
          <w:szCs w:val="24"/>
          <w:lang w:val="en"/>
        </w:rPr>
        <w:t>Himmah</w:t>
      </w:r>
      <w:proofErr w:type="spellEnd"/>
      <w:r w:rsidRPr="003602A8">
        <w:rPr>
          <w:rFonts w:ascii="Times New Roman" w:hAnsi="Times New Roman" w:cs="Times New Roman"/>
          <w:bCs/>
          <w:kern w:val="0"/>
          <w:sz w:val="24"/>
          <w:szCs w:val="24"/>
          <w:lang w:val="en"/>
        </w:rPr>
        <w:t xml:space="preserve"> (2025) study which shows that financial literacy contributes positively to financial management behaviors and wiser consumption preferences, including the tendency to choose products that have a positive socio-environmental impact.</w:t>
      </w:r>
    </w:p>
    <w:p w14:paraId="4F0D5A42" w14:textId="77777777" w:rsidR="003602A8" w:rsidRPr="003602A8" w:rsidRDefault="003602A8" w:rsidP="003602A8">
      <w:pPr>
        <w:autoSpaceDE w:val="0"/>
        <w:autoSpaceDN w:val="0"/>
        <w:adjustRightInd w:val="0"/>
        <w:spacing w:line="259" w:lineRule="atLeast"/>
        <w:ind w:left="426" w:right="288" w:firstLine="567"/>
        <w:jc w:val="both"/>
        <w:rPr>
          <w:rFonts w:ascii="Times New Roman" w:hAnsi="Times New Roman" w:cs="Times New Roman"/>
          <w:bCs/>
          <w:kern w:val="0"/>
          <w:sz w:val="24"/>
          <w:szCs w:val="24"/>
          <w:lang w:val="en"/>
        </w:rPr>
      </w:pPr>
      <w:r w:rsidRPr="003602A8">
        <w:rPr>
          <w:rFonts w:ascii="Times New Roman" w:hAnsi="Times New Roman" w:cs="Times New Roman"/>
          <w:bCs/>
          <w:kern w:val="0"/>
          <w:sz w:val="24"/>
          <w:szCs w:val="24"/>
          <w:lang w:val="en"/>
        </w:rPr>
        <w:t xml:space="preserve">In addition to financial literacy, the development of digital technology also plays an important role in shaping sustainable consumption behavior. Digital finance—through platforms such as e-wallets, financial planner apps, and investment marketplaces—has provided the ease of access and transparency of information needed by Generation Z to make more responsible decisions. Oberoi and </w:t>
      </w:r>
      <w:proofErr w:type="spellStart"/>
      <w:r w:rsidRPr="003602A8">
        <w:rPr>
          <w:rFonts w:ascii="Times New Roman" w:hAnsi="Times New Roman" w:cs="Times New Roman"/>
          <w:bCs/>
          <w:kern w:val="0"/>
          <w:sz w:val="24"/>
          <w:szCs w:val="24"/>
          <w:lang w:val="en"/>
        </w:rPr>
        <w:t>Puranik</w:t>
      </w:r>
      <w:proofErr w:type="spellEnd"/>
      <w:r w:rsidRPr="003602A8">
        <w:rPr>
          <w:rFonts w:ascii="Times New Roman" w:hAnsi="Times New Roman" w:cs="Times New Roman"/>
          <w:bCs/>
          <w:kern w:val="0"/>
          <w:sz w:val="24"/>
          <w:szCs w:val="24"/>
          <w:lang w:val="en"/>
        </w:rPr>
        <w:t xml:space="preserve"> (2024) in a systematic review of more than 230 articles affirmed that Generation Z has a positive relationship with financial technology (fintech), which increases efficiency in managing finances and encourages financial inclusion. In Indonesia, an empirical study by </w:t>
      </w:r>
      <w:proofErr w:type="spellStart"/>
      <w:r w:rsidRPr="003602A8">
        <w:rPr>
          <w:rFonts w:ascii="Times New Roman" w:hAnsi="Times New Roman" w:cs="Times New Roman"/>
          <w:bCs/>
          <w:kern w:val="0"/>
          <w:sz w:val="24"/>
          <w:szCs w:val="24"/>
          <w:lang w:val="en"/>
        </w:rPr>
        <w:t>Mauliddah</w:t>
      </w:r>
      <w:proofErr w:type="spellEnd"/>
      <w:r w:rsidRPr="003602A8">
        <w:rPr>
          <w:rFonts w:ascii="Times New Roman" w:hAnsi="Times New Roman" w:cs="Times New Roman"/>
          <w:bCs/>
          <w:kern w:val="0"/>
          <w:sz w:val="24"/>
          <w:szCs w:val="24"/>
          <w:lang w:val="en"/>
        </w:rPr>
        <w:t xml:space="preserve"> (2024) found that the use of financial applications significantly improves the ability of the younger generation to manage expenses and prepare financial planning. Easier access to financial information through digital devices allows individuals to trace the origin of products, compare the environmental impact of consumption choices, and choose more ethical and sustainable investments.</w:t>
      </w:r>
    </w:p>
    <w:p w14:paraId="4E4C7210" w14:textId="77777777" w:rsidR="003602A8" w:rsidRPr="003602A8" w:rsidRDefault="003602A8" w:rsidP="003602A8">
      <w:pPr>
        <w:autoSpaceDE w:val="0"/>
        <w:autoSpaceDN w:val="0"/>
        <w:adjustRightInd w:val="0"/>
        <w:spacing w:line="259" w:lineRule="atLeast"/>
        <w:ind w:left="426" w:right="288" w:firstLine="567"/>
        <w:jc w:val="both"/>
        <w:rPr>
          <w:rFonts w:ascii="Times New Roman" w:hAnsi="Times New Roman" w:cs="Times New Roman"/>
          <w:bCs/>
          <w:kern w:val="0"/>
          <w:sz w:val="24"/>
          <w:szCs w:val="24"/>
          <w:lang w:val="en"/>
        </w:rPr>
      </w:pPr>
      <w:r w:rsidRPr="003602A8">
        <w:rPr>
          <w:rFonts w:ascii="Times New Roman" w:hAnsi="Times New Roman" w:cs="Times New Roman"/>
          <w:bCs/>
          <w:kern w:val="0"/>
          <w:sz w:val="24"/>
          <w:szCs w:val="24"/>
          <w:lang w:val="en"/>
        </w:rPr>
        <w:t xml:space="preserve">In line with the development of digital finance, digital financial literacy is becoming a new dimension that is increasingly crucial in the context of sustainable financial behavior. Digital financial literacy refers to the ability to understand and use financial technology wisely, including in accessing information, assessing digital investment risks, and using applications to monitor and manage expenses. </w:t>
      </w:r>
      <w:proofErr w:type="spellStart"/>
      <w:r w:rsidRPr="003602A8">
        <w:rPr>
          <w:rFonts w:ascii="Times New Roman" w:hAnsi="Times New Roman" w:cs="Times New Roman"/>
          <w:bCs/>
          <w:kern w:val="0"/>
          <w:sz w:val="24"/>
          <w:szCs w:val="24"/>
          <w:lang w:val="en"/>
        </w:rPr>
        <w:t>Madini</w:t>
      </w:r>
      <w:proofErr w:type="spellEnd"/>
      <w:r w:rsidRPr="003602A8">
        <w:rPr>
          <w:rFonts w:ascii="Times New Roman" w:hAnsi="Times New Roman" w:cs="Times New Roman"/>
          <w:bCs/>
          <w:kern w:val="0"/>
          <w:sz w:val="24"/>
          <w:szCs w:val="24"/>
          <w:lang w:val="en"/>
        </w:rPr>
        <w:t xml:space="preserve"> (2023) shows that high digital literacy not only improves financial understanding, but also directs individual lifestyles towards more responsible and sustainable financial behavior. The study of </w:t>
      </w:r>
      <w:proofErr w:type="spellStart"/>
      <w:r w:rsidRPr="003602A8">
        <w:rPr>
          <w:rFonts w:ascii="Times New Roman" w:hAnsi="Times New Roman" w:cs="Times New Roman"/>
          <w:bCs/>
          <w:kern w:val="0"/>
          <w:sz w:val="24"/>
          <w:szCs w:val="24"/>
          <w:lang w:val="en"/>
        </w:rPr>
        <w:t>Suprianto</w:t>
      </w:r>
      <w:proofErr w:type="spellEnd"/>
      <w:r w:rsidRPr="003602A8">
        <w:rPr>
          <w:rFonts w:ascii="Times New Roman" w:hAnsi="Times New Roman" w:cs="Times New Roman"/>
          <w:bCs/>
          <w:kern w:val="0"/>
          <w:sz w:val="24"/>
          <w:szCs w:val="24"/>
          <w:lang w:val="en"/>
        </w:rPr>
        <w:t xml:space="preserve"> et al. (2025) also reinforces these findings, showing that the combination of financial literacy, self-efficacy, and the use of fintech results in healthy financial behaviors, including in the allocation of funds for long-term environmentally friendly needs. However, </w:t>
      </w:r>
      <w:proofErr w:type="spellStart"/>
      <w:r w:rsidRPr="003602A8">
        <w:rPr>
          <w:rFonts w:ascii="Times New Roman" w:hAnsi="Times New Roman" w:cs="Times New Roman"/>
          <w:bCs/>
          <w:kern w:val="0"/>
          <w:sz w:val="24"/>
          <w:szCs w:val="24"/>
          <w:lang w:val="en"/>
        </w:rPr>
        <w:t>Akibun</w:t>
      </w:r>
      <w:proofErr w:type="spellEnd"/>
      <w:r w:rsidRPr="003602A8">
        <w:rPr>
          <w:rFonts w:ascii="Times New Roman" w:hAnsi="Times New Roman" w:cs="Times New Roman"/>
          <w:bCs/>
          <w:kern w:val="0"/>
          <w:sz w:val="24"/>
          <w:szCs w:val="24"/>
          <w:lang w:val="en"/>
        </w:rPr>
        <w:t xml:space="preserve"> et al. (2025) noted that although Generation Z in Indonesia is active in the use of social media, they have not fully utilized financial planning applications optimally, so a more comprehensive educational approach is needed to improve their digital financial literacy.</w:t>
      </w:r>
    </w:p>
    <w:p w14:paraId="65C0B2B7" w14:textId="77777777" w:rsidR="003602A8" w:rsidRPr="003602A8" w:rsidRDefault="003602A8" w:rsidP="003602A8">
      <w:pPr>
        <w:autoSpaceDE w:val="0"/>
        <w:autoSpaceDN w:val="0"/>
        <w:adjustRightInd w:val="0"/>
        <w:spacing w:line="259" w:lineRule="atLeast"/>
        <w:ind w:left="426" w:right="288" w:firstLine="567"/>
        <w:jc w:val="both"/>
        <w:rPr>
          <w:rFonts w:ascii="Times New Roman" w:hAnsi="Times New Roman" w:cs="Times New Roman"/>
          <w:bCs/>
          <w:kern w:val="0"/>
          <w:sz w:val="24"/>
          <w:szCs w:val="24"/>
          <w:lang w:val="en"/>
        </w:rPr>
      </w:pPr>
      <w:r w:rsidRPr="003602A8">
        <w:rPr>
          <w:rFonts w:ascii="Times New Roman" w:hAnsi="Times New Roman" w:cs="Times New Roman"/>
          <w:bCs/>
          <w:kern w:val="0"/>
          <w:sz w:val="24"/>
          <w:szCs w:val="24"/>
          <w:lang w:val="en"/>
        </w:rPr>
        <w:t xml:space="preserve">In the context of Indonesia's demographics, Generation Z has a strategic role in driving sustainable consumption transformation. With a large population and characteristics as digital natives, this generation has the potential to be the driving force of </w:t>
      </w:r>
      <w:r w:rsidRPr="003602A8">
        <w:rPr>
          <w:rFonts w:ascii="Times New Roman" w:hAnsi="Times New Roman" w:cs="Times New Roman"/>
          <w:bCs/>
          <w:kern w:val="0"/>
          <w:sz w:val="24"/>
          <w:szCs w:val="24"/>
          <w:lang w:val="en"/>
        </w:rPr>
        <w:lastRenderedPageBreak/>
        <w:t xml:space="preserve">social and economic change in favor of sustainability. Abd. </w:t>
      </w:r>
      <w:proofErr w:type="spellStart"/>
      <w:r w:rsidRPr="003602A8">
        <w:rPr>
          <w:rFonts w:ascii="Times New Roman" w:hAnsi="Times New Roman" w:cs="Times New Roman"/>
          <w:bCs/>
          <w:kern w:val="0"/>
          <w:sz w:val="24"/>
          <w:szCs w:val="24"/>
          <w:lang w:val="en"/>
        </w:rPr>
        <w:t>Somad</w:t>
      </w:r>
      <w:proofErr w:type="spellEnd"/>
      <w:r w:rsidRPr="003602A8">
        <w:rPr>
          <w:rFonts w:ascii="Times New Roman" w:hAnsi="Times New Roman" w:cs="Times New Roman"/>
          <w:bCs/>
          <w:kern w:val="0"/>
          <w:sz w:val="24"/>
          <w:szCs w:val="24"/>
          <w:lang w:val="en"/>
        </w:rPr>
        <w:t xml:space="preserve"> and </w:t>
      </w:r>
      <w:proofErr w:type="spellStart"/>
      <w:r w:rsidRPr="003602A8">
        <w:rPr>
          <w:rFonts w:ascii="Times New Roman" w:hAnsi="Times New Roman" w:cs="Times New Roman"/>
          <w:bCs/>
          <w:kern w:val="0"/>
          <w:sz w:val="24"/>
          <w:szCs w:val="24"/>
          <w:lang w:val="en"/>
        </w:rPr>
        <w:t>Fatmasari</w:t>
      </w:r>
      <w:proofErr w:type="spellEnd"/>
      <w:r w:rsidRPr="003602A8">
        <w:rPr>
          <w:rFonts w:ascii="Times New Roman" w:hAnsi="Times New Roman" w:cs="Times New Roman"/>
          <w:bCs/>
          <w:kern w:val="0"/>
          <w:sz w:val="24"/>
          <w:szCs w:val="24"/>
          <w:lang w:val="en"/>
        </w:rPr>
        <w:t xml:space="preserve"> (2024), in their study of students in Semarang, showed that the values of nature-relatedness and environmental awareness play an important role in encouraging sustainable consumption behavior. Thomas et al. (2024) also found that in Indonesia, there is a positive correlation between financial literacy, the use of financial technology, and participation in inclusive and sustainable economic activities. This potential needs to be optimized through public policies and education programs that encourage the improvement of financial literacy and the sustainable use of digital technology.</w:t>
      </w:r>
    </w:p>
    <w:p w14:paraId="179180EF" w14:textId="0946CCC4" w:rsidR="0003688B" w:rsidRDefault="003602A8" w:rsidP="003602A8">
      <w:pPr>
        <w:autoSpaceDE w:val="0"/>
        <w:autoSpaceDN w:val="0"/>
        <w:adjustRightInd w:val="0"/>
        <w:spacing w:line="259" w:lineRule="atLeast"/>
        <w:ind w:left="426" w:right="288" w:firstLine="567"/>
        <w:jc w:val="both"/>
        <w:rPr>
          <w:rFonts w:ascii="Times New Roman" w:hAnsi="Times New Roman" w:cs="Times New Roman"/>
          <w:b/>
          <w:bCs/>
          <w:kern w:val="0"/>
          <w:sz w:val="24"/>
          <w:szCs w:val="24"/>
          <w:lang w:val="en"/>
        </w:rPr>
      </w:pPr>
      <w:r w:rsidRPr="003602A8">
        <w:rPr>
          <w:rFonts w:ascii="Times New Roman" w:hAnsi="Times New Roman" w:cs="Times New Roman"/>
          <w:bCs/>
          <w:kern w:val="0"/>
          <w:sz w:val="24"/>
          <w:szCs w:val="24"/>
          <w:lang w:val="en"/>
        </w:rPr>
        <w:t>Based on the description above, it can be concluded that sustainable consumption in Generation Z is inseparable from the role of financial literacy, the use of digital finance, and digital financial literacy itself. The interaction between these factors is the foundation in shaping consumption patterns that are not only responsible for personal financial conditions, but also for environmental and social sustainability. By understanding this linkage, research on sustainable consumption in Generation Z in Indonesia is very important as a basis for policy interventions, educational planning, and sustainable development of digital financial services. This effort to encourage changes in consumption behavior is also a concrete contribution to the achievement of sustainable development goals, especially SDG 12 which emphasizes the importance of responsible consumption and production patterns</w:t>
      </w:r>
      <w:r w:rsidRPr="003602A8">
        <w:rPr>
          <w:rFonts w:ascii="Times New Roman" w:hAnsi="Times New Roman" w:cs="Times New Roman"/>
          <w:bCs/>
          <w:kern w:val="0"/>
          <w:sz w:val="24"/>
          <w:szCs w:val="24"/>
          <w:lang w:val="en"/>
        </w:rPr>
        <w:t>.</w:t>
      </w:r>
      <w:r>
        <w:rPr>
          <w:rFonts w:ascii="Times New Roman" w:hAnsi="Times New Roman" w:cs="Times New Roman"/>
          <w:b/>
          <w:bCs/>
          <w:kern w:val="0"/>
          <w:sz w:val="24"/>
          <w:szCs w:val="24"/>
          <w:lang w:val="en"/>
        </w:rPr>
        <w:t xml:space="preserve"> </w:t>
      </w:r>
    </w:p>
    <w:p w14:paraId="7C2A2828" w14:textId="77777777" w:rsidR="003602A8" w:rsidRDefault="003602A8" w:rsidP="003602A8">
      <w:pPr>
        <w:autoSpaceDE w:val="0"/>
        <w:autoSpaceDN w:val="0"/>
        <w:adjustRightInd w:val="0"/>
        <w:spacing w:line="259" w:lineRule="atLeast"/>
        <w:ind w:left="426" w:right="288"/>
        <w:jc w:val="both"/>
        <w:rPr>
          <w:rFonts w:ascii="Times New Roman" w:hAnsi="Times New Roman" w:cs="Times New Roman"/>
          <w:b/>
          <w:bCs/>
          <w:kern w:val="0"/>
          <w:sz w:val="24"/>
          <w:szCs w:val="24"/>
          <w:lang w:val="en"/>
        </w:rPr>
      </w:pPr>
    </w:p>
    <w:p w14:paraId="56E90EFC" w14:textId="5FBE6EE4" w:rsidR="001F2E78" w:rsidRDefault="002201E9" w:rsidP="0003688B">
      <w:pPr>
        <w:ind w:left="446" w:right="429"/>
        <w:jc w:val="both"/>
        <w:rPr>
          <w:rFonts w:ascii="Times New Roman" w:hAnsi="Times New Roman" w:cs="Times New Roman"/>
          <w:b/>
          <w:sz w:val="24"/>
          <w:szCs w:val="24"/>
        </w:rPr>
      </w:pPr>
      <w:r w:rsidRPr="00641564">
        <w:rPr>
          <w:rFonts w:ascii="Times New Roman" w:hAnsi="Times New Roman" w:cs="Times New Roman"/>
          <w:b/>
          <w:sz w:val="24"/>
          <w:szCs w:val="24"/>
        </w:rPr>
        <w:t>RESEARCH METHOD</w:t>
      </w:r>
    </w:p>
    <w:p w14:paraId="27B1162B" w14:textId="4FAC3454" w:rsidR="0003688B" w:rsidRDefault="0003688B" w:rsidP="0003688B">
      <w:pPr>
        <w:ind w:left="446" w:right="429"/>
        <w:jc w:val="both"/>
        <w:rPr>
          <w:rFonts w:ascii="Times New Roman" w:hAnsi="Times New Roman" w:cs="Times New Roman"/>
          <w:bCs/>
          <w:iCs/>
          <w:sz w:val="24"/>
          <w:szCs w:val="24"/>
          <w:lang w:val="en-ID"/>
        </w:rPr>
      </w:pPr>
    </w:p>
    <w:p w14:paraId="6D0BE7C0" w14:textId="77777777" w:rsidR="003602A8" w:rsidRPr="003602A8" w:rsidRDefault="003602A8" w:rsidP="003602A8">
      <w:pPr>
        <w:ind w:left="450" w:right="288" w:firstLine="543"/>
        <w:jc w:val="both"/>
        <w:rPr>
          <w:rFonts w:ascii="Times New Roman" w:hAnsi="Times New Roman" w:cs="Times New Roman"/>
          <w:sz w:val="24"/>
          <w:szCs w:val="24"/>
        </w:rPr>
      </w:pPr>
      <w:r w:rsidRPr="003602A8">
        <w:rPr>
          <w:rFonts w:ascii="Times New Roman" w:hAnsi="Times New Roman" w:cs="Times New Roman"/>
          <w:sz w:val="24"/>
          <w:szCs w:val="24"/>
        </w:rPr>
        <w:t xml:space="preserve">This study aims to examine the influence of personal financial management, financial literacy, and digital finance on sustainable consumption in Generation Z in Indonesia. The focus of the population is individuals aged 18-23 years with a minimum income of IDR 5 million per month, selected by purposive and convenience sampling due to limited resources. A minimum </w:t>
      </w:r>
      <w:proofErr w:type="gramStart"/>
      <w:r w:rsidRPr="003602A8">
        <w:rPr>
          <w:rFonts w:ascii="Times New Roman" w:hAnsi="Times New Roman" w:cs="Times New Roman"/>
          <w:sz w:val="24"/>
          <w:szCs w:val="24"/>
        </w:rPr>
        <w:t>sample  of</w:t>
      </w:r>
      <w:proofErr w:type="gramEnd"/>
      <w:r w:rsidRPr="003602A8">
        <w:rPr>
          <w:rFonts w:ascii="Times New Roman" w:hAnsi="Times New Roman" w:cs="Times New Roman"/>
          <w:sz w:val="24"/>
          <w:szCs w:val="24"/>
        </w:rPr>
        <w:t xml:space="preserve"> 40 respondents was determined based on the SEM-PLS criteria (10 × the most indicators).</w:t>
      </w:r>
    </w:p>
    <w:p w14:paraId="7CC69DC4" w14:textId="77777777" w:rsidR="003602A8" w:rsidRPr="003602A8" w:rsidRDefault="003602A8" w:rsidP="003602A8">
      <w:pPr>
        <w:ind w:left="450" w:right="288" w:firstLine="543"/>
        <w:jc w:val="both"/>
        <w:rPr>
          <w:rFonts w:ascii="Times New Roman" w:hAnsi="Times New Roman" w:cs="Times New Roman"/>
          <w:sz w:val="24"/>
          <w:szCs w:val="24"/>
        </w:rPr>
      </w:pPr>
      <w:r w:rsidRPr="003602A8">
        <w:rPr>
          <w:rFonts w:ascii="Times New Roman" w:hAnsi="Times New Roman" w:cs="Times New Roman"/>
          <w:sz w:val="24"/>
          <w:szCs w:val="24"/>
        </w:rPr>
        <w:t xml:space="preserve">Data were collected through an online questionnaire (semantic differential scale 1-5) and analyzed with SEM-PLS to test the causal relationship between variables, supported by descriptive analysis and validity-reliability tests. The research is based on the positivism paradigm, combining quantitative and </w:t>
      </w:r>
      <w:proofErr w:type="gramStart"/>
      <w:r w:rsidRPr="003602A8">
        <w:rPr>
          <w:rFonts w:ascii="Times New Roman" w:hAnsi="Times New Roman" w:cs="Times New Roman"/>
          <w:sz w:val="24"/>
          <w:szCs w:val="24"/>
        </w:rPr>
        <w:t>descriptive  approaches</w:t>
      </w:r>
      <w:proofErr w:type="gramEnd"/>
      <w:r w:rsidRPr="003602A8">
        <w:rPr>
          <w:rFonts w:ascii="Times New Roman" w:hAnsi="Times New Roman" w:cs="Times New Roman"/>
          <w:sz w:val="24"/>
          <w:szCs w:val="24"/>
        </w:rPr>
        <w:t xml:space="preserve"> to map Generation Z's financial behavior and its impact on sustainable consumption.</w:t>
      </w:r>
    </w:p>
    <w:p w14:paraId="79C49DE0" w14:textId="6A9F737E" w:rsidR="00B84332" w:rsidRPr="003602A8" w:rsidRDefault="003602A8" w:rsidP="003602A8">
      <w:pPr>
        <w:ind w:left="450" w:right="288" w:firstLine="543"/>
        <w:jc w:val="both"/>
        <w:rPr>
          <w:rFonts w:ascii="Times New Roman" w:hAnsi="Times New Roman" w:cs="Times New Roman"/>
          <w:sz w:val="24"/>
          <w:szCs w:val="24"/>
        </w:rPr>
      </w:pPr>
      <w:r w:rsidRPr="003602A8">
        <w:rPr>
          <w:rFonts w:ascii="Times New Roman" w:hAnsi="Times New Roman" w:cs="Times New Roman"/>
          <w:sz w:val="24"/>
          <w:szCs w:val="24"/>
        </w:rPr>
        <w:t xml:space="preserve">The practical </w:t>
      </w:r>
      <w:proofErr w:type="gramStart"/>
      <w:r w:rsidRPr="003602A8">
        <w:rPr>
          <w:rFonts w:ascii="Times New Roman" w:hAnsi="Times New Roman" w:cs="Times New Roman"/>
          <w:sz w:val="24"/>
          <w:szCs w:val="24"/>
        </w:rPr>
        <w:t>implications  of</w:t>
      </w:r>
      <w:proofErr w:type="gramEnd"/>
      <w:r w:rsidRPr="003602A8">
        <w:rPr>
          <w:rFonts w:ascii="Times New Roman" w:hAnsi="Times New Roman" w:cs="Times New Roman"/>
          <w:sz w:val="24"/>
          <w:szCs w:val="24"/>
        </w:rPr>
        <w:t xml:space="preserve"> this study include recommendations to improve financial literacy and the adoption of digital technologies to support sustainable consumption patterns. The output produced is in the form of comprehensive reports and scientific articles. The collaboration of the research team (chairs, members, and students) ensures efficiency in the preparation of instruments, data collection, and analysis.</w:t>
      </w:r>
    </w:p>
    <w:p w14:paraId="47161CF7" w14:textId="77777777" w:rsidR="00B84332" w:rsidRDefault="00B84332" w:rsidP="004A040C">
      <w:pPr>
        <w:ind w:left="450" w:right="288"/>
        <w:jc w:val="both"/>
        <w:rPr>
          <w:rFonts w:ascii="Times New Roman" w:hAnsi="Times New Roman" w:cs="Times New Roman"/>
          <w:b/>
          <w:sz w:val="24"/>
          <w:szCs w:val="24"/>
        </w:rPr>
      </w:pPr>
    </w:p>
    <w:p w14:paraId="2C841EB2" w14:textId="2D087DF9" w:rsidR="004A040C" w:rsidRDefault="004A040C" w:rsidP="00B84332">
      <w:pPr>
        <w:ind w:left="426" w:right="288"/>
        <w:jc w:val="both"/>
        <w:rPr>
          <w:rFonts w:ascii="Times New Roman" w:hAnsi="Times New Roman" w:cs="Times New Roman"/>
          <w:b/>
          <w:sz w:val="24"/>
          <w:szCs w:val="24"/>
        </w:rPr>
      </w:pPr>
      <w:r w:rsidRPr="00641564">
        <w:rPr>
          <w:rFonts w:ascii="Times New Roman" w:hAnsi="Times New Roman" w:cs="Times New Roman"/>
          <w:b/>
          <w:sz w:val="24"/>
          <w:szCs w:val="24"/>
        </w:rPr>
        <w:t>RESULTS AND DISCUSSION</w:t>
      </w:r>
    </w:p>
    <w:p w14:paraId="39D59219" w14:textId="06966076" w:rsidR="00B84332" w:rsidRDefault="00B84332" w:rsidP="004A040C">
      <w:pPr>
        <w:ind w:left="450" w:right="288"/>
        <w:jc w:val="both"/>
        <w:rPr>
          <w:rFonts w:ascii="Times New Roman" w:hAnsi="Times New Roman" w:cs="Times New Roman"/>
          <w:b/>
          <w:sz w:val="24"/>
          <w:szCs w:val="24"/>
        </w:rPr>
      </w:pPr>
    </w:p>
    <w:p w14:paraId="4BBBC338" w14:textId="77777777" w:rsidR="00045E6B" w:rsidRPr="00045E6B" w:rsidRDefault="00045E6B" w:rsidP="00045E6B">
      <w:pPr>
        <w:pStyle w:val="BodyText"/>
        <w:ind w:left="426" w:right="288" w:firstLine="567"/>
        <w:jc w:val="both"/>
        <w:rPr>
          <w:bCs/>
          <w:color w:val="auto"/>
          <w:kern w:val="0"/>
          <w:lang w:val="en-ID"/>
          <w14:ligatures w14:val="none"/>
          <w14:cntxtAlts w14:val="0"/>
        </w:rPr>
      </w:pPr>
      <w:r w:rsidRPr="00045E6B">
        <w:rPr>
          <w:bCs/>
        </w:rPr>
        <w:t>This study aims to analyze the influence of personal financial management, financial literacy, and digital finance on sustainable consumption in Generation Z in Indonesia. To ensure the quality of the data and the validity of the results, a series of comprehensive statistical tests were conducted. Here is a detailed description of each stage of the analysis along with the interpretation of the results.</w:t>
      </w:r>
    </w:p>
    <w:p w14:paraId="7D3D26A3" w14:textId="77777777" w:rsidR="00045E6B" w:rsidRPr="00045E6B" w:rsidRDefault="00045E6B" w:rsidP="00045E6B">
      <w:pPr>
        <w:pStyle w:val="BodyText"/>
        <w:ind w:left="426" w:right="288"/>
        <w:jc w:val="both"/>
        <w:rPr>
          <w:b/>
          <w:lang w:val="en-ID"/>
        </w:rPr>
      </w:pPr>
      <w:r w:rsidRPr="00045E6B">
        <w:rPr>
          <w:b/>
        </w:rPr>
        <w:lastRenderedPageBreak/>
        <w:t>Validity Test</w:t>
      </w:r>
    </w:p>
    <w:p w14:paraId="2E003F9D" w14:textId="364A3AC0" w:rsidR="00045E6B" w:rsidRDefault="00045E6B" w:rsidP="00045E6B">
      <w:pPr>
        <w:pStyle w:val="BodyText"/>
        <w:ind w:left="426" w:right="288" w:firstLine="567"/>
        <w:jc w:val="both"/>
        <w:rPr>
          <w:bCs/>
        </w:rPr>
      </w:pPr>
      <w:r w:rsidRPr="00045E6B">
        <w:rPr>
          <w:bCs/>
        </w:rPr>
        <w:t xml:space="preserve">Validity tests are conducted to ensure that each question item in the questionnaire actually measures what is supposed to be measured. In this study, validity was tested using Pearson Product Moment correlation by comparing the calculated r value of each item to the r table. With a total of 40 respondents and a degree of freedom of 38 (n-2), the </w:t>
      </w:r>
      <w:proofErr w:type="spellStart"/>
      <w:r w:rsidRPr="00045E6B">
        <w:rPr>
          <w:bCs/>
        </w:rPr>
        <w:t>r-value</w:t>
      </w:r>
      <w:proofErr w:type="spellEnd"/>
      <w:r w:rsidRPr="00045E6B">
        <w:rPr>
          <w:bCs/>
        </w:rPr>
        <w:t xml:space="preserve"> of the table used as a reference is 0.312 at a significance level of 5%. The test results showed that all 40 statements in the questionnaire had a calculated </w:t>
      </w:r>
      <w:proofErr w:type="spellStart"/>
      <w:r w:rsidRPr="00045E6B">
        <w:rPr>
          <w:bCs/>
        </w:rPr>
        <w:t>r-value</w:t>
      </w:r>
      <w:proofErr w:type="spellEnd"/>
      <w:r w:rsidRPr="00045E6B">
        <w:rPr>
          <w:bCs/>
        </w:rPr>
        <w:t xml:space="preserve"> greater than the r-table, with a value range between 0.462 to 0.540. This proves that all questionnaire items are valid and worth using for further measurement. The high consistency of this validity value indicates that the research instrument has been well designed and is able to accurately reveal the construct in question.</w:t>
      </w:r>
    </w:p>
    <w:p w14:paraId="58BCA7EC" w14:textId="77777777" w:rsidR="00045E6B" w:rsidRPr="00045E6B" w:rsidRDefault="00045E6B" w:rsidP="00045E6B">
      <w:pPr>
        <w:pStyle w:val="BodyText"/>
        <w:ind w:left="426" w:right="288" w:firstLine="567"/>
        <w:jc w:val="both"/>
        <w:rPr>
          <w:bCs/>
          <w:lang w:val="en-ID"/>
        </w:rPr>
      </w:pPr>
    </w:p>
    <w:p w14:paraId="5A954260" w14:textId="77777777" w:rsidR="00045E6B" w:rsidRPr="00045E6B" w:rsidRDefault="00045E6B" w:rsidP="00045E6B">
      <w:pPr>
        <w:pStyle w:val="BodyText"/>
        <w:ind w:left="426" w:right="288"/>
        <w:jc w:val="both"/>
        <w:rPr>
          <w:b/>
          <w:lang w:val="en-ID"/>
        </w:rPr>
      </w:pPr>
      <w:r w:rsidRPr="00045E6B">
        <w:rPr>
          <w:b/>
        </w:rPr>
        <w:t>Reliability Test</w:t>
      </w:r>
    </w:p>
    <w:p w14:paraId="2B203CA3" w14:textId="5CFCFF90" w:rsidR="00045E6B" w:rsidRDefault="00045E6B" w:rsidP="00045E6B">
      <w:pPr>
        <w:pStyle w:val="BodyText"/>
        <w:ind w:left="426" w:right="288" w:firstLine="567"/>
        <w:jc w:val="both"/>
        <w:rPr>
          <w:bCs/>
        </w:rPr>
      </w:pPr>
      <w:r w:rsidRPr="00045E6B">
        <w:rPr>
          <w:bCs/>
        </w:rPr>
        <w:t>Reliability measures the internal consistency of the research instrument. The test was carried out using Cronbach's Alpha with a minimum limit of 0.70 to be declared reliable. The results of the analysis showed that all variables met these criteria: Personal Financial Management (α=0.733), Financial Literacy (α=0.727), Digital Finance (α=0.751), and Sustainable Consumption (α=0.768). These values not only exceed the minimum limit but also show good consistency between items in each variable. The Sustainable Consumption variable recorded the highest reliability value, indicating that the measurement of this construct was the most stable than others. Overall, the results of this reliability test provide confidence that the research instrument can produce consistent and reliable data.</w:t>
      </w:r>
    </w:p>
    <w:p w14:paraId="70E5168B" w14:textId="77777777" w:rsidR="00045E6B" w:rsidRPr="00045E6B" w:rsidRDefault="00045E6B" w:rsidP="00045E6B">
      <w:pPr>
        <w:pStyle w:val="BodyText"/>
        <w:ind w:left="426" w:right="288" w:firstLine="567"/>
        <w:jc w:val="both"/>
        <w:rPr>
          <w:bCs/>
          <w:lang w:val="en-ID"/>
        </w:rPr>
      </w:pPr>
    </w:p>
    <w:p w14:paraId="0EC2F1F0" w14:textId="77777777" w:rsidR="00045E6B" w:rsidRPr="00045E6B" w:rsidRDefault="00045E6B" w:rsidP="00045E6B">
      <w:pPr>
        <w:pStyle w:val="BodyText"/>
        <w:ind w:left="426" w:right="288"/>
        <w:jc w:val="both"/>
        <w:rPr>
          <w:b/>
          <w:lang w:val="en-ID"/>
        </w:rPr>
      </w:pPr>
      <w:r w:rsidRPr="00045E6B">
        <w:rPr>
          <w:b/>
        </w:rPr>
        <w:t>Multicollinearity Test</w:t>
      </w:r>
    </w:p>
    <w:p w14:paraId="67C84AEB" w14:textId="7F836EB4" w:rsidR="00045E6B" w:rsidRDefault="00045E6B" w:rsidP="00045E6B">
      <w:pPr>
        <w:pStyle w:val="BodyText"/>
        <w:ind w:left="426" w:right="288" w:firstLine="567"/>
        <w:jc w:val="both"/>
        <w:rPr>
          <w:bCs/>
        </w:rPr>
      </w:pPr>
      <w:r w:rsidRPr="00045E6B">
        <w:rPr>
          <w:bCs/>
        </w:rPr>
        <w:t>Multicollinearity tests are important to ensure that there is no high correlation between independent variables that could interfere with model estimation. The test uses two main indicators: Tolerance and Variance Inflation Factor (VIF). The results showed that the Tolerance value for the three independent variables was above 0.80 (Personal Financial Management = 0.845; Financial literacy=0.860; Digital Finance = 0.830), far exceeding the critical limit of 0.10. Correspondingly, the VIF values of the three are in the range of 1,163-1,205, well below the threshold of 5. These results confirm the absence of multicollinearity problems in the model, which means that each independent variable makes a unique contribution in explaining the dependent variable without significant overlap.</w:t>
      </w:r>
    </w:p>
    <w:p w14:paraId="703AEFBD" w14:textId="77777777" w:rsidR="00045E6B" w:rsidRPr="00045E6B" w:rsidRDefault="00045E6B" w:rsidP="00045E6B">
      <w:pPr>
        <w:pStyle w:val="BodyText"/>
        <w:ind w:left="426" w:right="288" w:firstLine="567"/>
        <w:jc w:val="both"/>
        <w:rPr>
          <w:bCs/>
          <w:lang w:val="en-ID"/>
        </w:rPr>
      </w:pPr>
    </w:p>
    <w:p w14:paraId="09EF0532" w14:textId="77777777" w:rsidR="00045E6B" w:rsidRPr="00045E6B" w:rsidRDefault="00045E6B" w:rsidP="00045E6B">
      <w:pPr>
        <w:pStyle w:val="BodyText"/>
        <w:ind w:left="426" w:right="288"/>
        <w:jc w:val="both"/>
        <w:rPr>
          <w:b/>
          <w:lang w:val="en-ID"/>
        </w:rPr>
      </w:pPr>
      <w:r w:rsidRPr="00045E6B">
        <w:rPr>
          <w:b/>
        </w:rPr>
        <w:t>Normality Test</w:t>
      </w:r>
    </w:p>
    <w:p w14:paraId="31A71141" w14:textId="77777777" w:rsidR="00045E6B" w:rsidRPr="00045E6B" w:rsidRDefault="00045E6B" w:rsidP="00045E6B">
      <w:pPr>
        <w:pStyle w:val="BodyText"/>
        <w:ind w:left="426" w:right="288" w:firstLine="567"/>
        <w:jc w:val="both"/>
        <w:rPr>
          <w:bCs/>
          <w:lang w:val="en-ID"/>
        </w:rPr>
      </w:pPr>
      <w:r w:rsidRPr="00045E6B">
        <w:rPr>
          <w:bCs/>
        </w:rPr>
        <w:t>The assumption of normality of the data was tested using the Kolmogorov-Smirnov test. The main criterion is a significance value of &gt;0.05 which indicates a normal distribution. The test results for all variables met these criteria: Personal Financial Management (0.200), Financial Literacy (0.187), Digital Finance (0.145), and Sustainable Consumption (0.123). This confirmed normal distribution validates the use of parametric statistical techniques in further analysis, while ensuring that the estimated results will be robust and generalizable.</w:t>
      </w:r>
    </w:p>
    <w:p w14:paraId="714DA607" w14:textId="2B405267" w:rsidR="00045E6B" w:rsidRDefault="00045E6B" w:rsidP="00045E6B">
      <w:pPr>
        <w:pStyle w:val="BodyText"/>
        <w:ind w:left="426" w:right="288" w:firstLine="567"/>
        <w:jc w:val="both"/>
        <w:rPr>
          <w:bCs/>
        </w:rPr>
      </w:pPr>
      <w:r w:rsidRPr="00045E6B">
        <w:rPr>
          <w:bCs/>
        </w:rPr>
        <w:t xml:space="preserve">Heteroscedasticity </w:t>
      </w:r>
      <w:proofErr w:type="spellStart"/>
      <w:r w:rsidRPr="00045E6B">
        <w:rPr>
          <w:bCs/>
        </w:rPr>
        <w:t>TestThe</w:t>
      </w:r>
      <w:proofErr w:type="spellEnd"/>
      <w:r w:rsidRPr="00045E6B">
        <w:rPr>
          <w:bCs/>
        </w:rPr>
        <w:t xml:space="preserve"> </w:t>
      </w:r>
      <w:proofErr w:type="spellStart"/>
      <w:r w:rsidRPr="00045E6B">
        <w:rPr>
          <w:bCs/>
        </w:rPr>
        <w:t>Glejser</w:t>
      </w:r>
      <w:proofErr w:type="spellEnd"/>
      <w:r w:rsidRPr="00045E6B">
        <w:rPr>
          <w:bCs/>
        </w:rPr>
        <w:t xml:space="preserve"> test is used to detect heteroscedasticity, with a significance value criterion of &gt;0.05 indicating the absence of problems. The test results for the three independent variables showed high significance values: Personal Financial </w:t>
      </w:r>
      <w:r w:rsidRPr="00045E6B">
        <w:rPr>
          <w:bCs/>
        </w:rPr>
        <w:lastRenderedPageBreak/>
        <w:t>Management (0.555), Financial Literacy (0.849), and Digital Finance (0.752). This proves that the residual variance in the model is constant (</w:t>
      </w:r>
      <w:proofErr w:type="spellStart"/>
      <w:r w:rsidRPr="00045E6B">
        <w:rPr>
          <w:bCs/>
        </w:rPr>
        <w:t>homoskedastic</w:t>
      </w:r>
      <w:proofErr w:type="spellEnd"/>
      <w:r w:rsidRPr="00045E6B">
        <w:rPr>
          <w:bCs/>
        </w:rPr>
        <w:t>), so the estimated regression coefficient obtained is efficient and unbiased.</w:t>
      </w:r>
    </w:p>
    <w:p w14:paraId="5DA5F12A" w14:textId="77777777" w:rsidR="00045E6B" w:rsidRPr="00045E6B" w:rsidRDefault="00045E6B" w:rsidP="00045E6B">
      <w:pPr>
        <w:pStyle w:val="BodyText"/>
        <w:ind w:left="426" w:right="288" w:firstLine="567"/>
        <w:jc w:val="both"/>
        <w:rPr>
          <w:bCs/>
          <w:lang w:val="en-ID"/>
        </w:rPr>
      </w:pPr>
    </w:p>
    <w:p w14:paraId="4AE75C52" w14:textId="77777777" w:rsidR="00045E6B" w:rsidRPr="00045E6B" w:rsidRDefault="00045E6B" w:rsidP="00045E6B">
      <w:pPr>
        <w:pStyle w:val="BodyText"/>
        <w:ind w:left="426" w:right="288"/>
        <w:jc w:val="both"/>
        <w:rPr>
          <w:b/>
          <w:lang w:val="en-ID"/>
        </w:rPr>
      </w:pPr>
      <w:r w:rsidRPr="00045E6B">
        <w:rPr>
          <w:b/>
        </w:rPr>
        <w:t>Autocorrelation Test</w:t>
      </w:r>
    </w:p>
    <w:p w14:paraId="28CD8058" w14:textId="77777777" w:rsidR="00045E6B" w:rsidRPr="00045E6B" w:rsidRDefault="00045E6B" w:rsidP="00045E6B">
      <w:pPr>
        <w:pStyle w:val="BodyText"/>
        <w:ind w:left="426" w:right="288" w:firstLine="567"/>
        <w:jc w:val="both"/>
        <w:rPr>
          <w:bCs/>
          <w:lang w:val="en-ID"/>
        </w:rPr>
      </w:pPr>
      <w:r w:rsidRPr="00045E6B">
        <w:rPr>
          <w:bCs/>
        </w:rPr>
        <w:t xml:space="preserve">Testing using the Durbin-Watson test yielded a value of 1.98, which is in the range between </w:t>
      </w:r>
      <w:proofErr w:type="spellStart"/>
      <w:r w:rsidRPr="00045E6B">
        <w:rPr>
          <w:bCs/>
        </w:rPr>
        <w:t>dU</w:t>
      </w:r>
      <w:proofErr w:type="spellEnd"/>
      <w:r w:rsidRPr="00045E6B">
        <w:rPr>
          <w:bCs/>
        </w:rPr>
        <w:t xml:space="preserve"> (1.78) and 4-dU (2.22). These results indicate the absence of autocorrelation in the residual model, which means that the observations in this study are independent of each other. This condition is important to ensure that the model parameter estimation is not distorted by temporal correlations between residuals.</w:t>
      </w:r>
    </w:p>
    <w:p w14:paraId="6EC17F8A" w14:textId="77777777" w:rsidR="00045E6B" w:rsidRPr="00045E6B" w:rsidRDefault="00045E6B" w:rsidP="00045E6B">
      <w:pPr>
        <w:pStyle w:val="BodyText"/>
        <w:ind w:left="426" w:right="288" w:firstLine="567"/>
        <w:jc w:val="both"/>
        <w:rPr>
          <w:b/>
          <w:lang w:val="en-ID"/>
        </w:rPr>
      </w:pPr>
      <w:r w:rsidRPr="00045E6B">
        <w:rPr>
          <w:b/>
        </w:rPr>
        <w:t>Correlation Test</w:t>
      </w:r>
    </w:p>
    <w:p w14:paraId="1046CD98" w14:textId="18656427" w:rsidR="00045E6B" w:rsidRDefault="00045E6B" w:rsidP="00045E6B">
      <w:pPr>
        <w:pStyle w:val="BodyText"/>
        <w:ind w:left="426" w:right="288" w:firstLine="567"/>
        <w:jc w:val="both"/>
        <w:rPr>
          <w:bCs/>
        </w:rPr>
      </w:pPr>
      <w:r w:rsidRPr="00045E6B">
        <w:rPr>
          <w:bCs/>
        </w:rPr>
        <w:t>Pearson's correlation analysis revealed significant relationships between variables. All three independent variables showed a strong correlation with Sustainable Consumption: Personal Financial Management (r=0.612), Financial Literacy (r=0.587), and Digital Finance (r=0.560). Meanwhile, the correlation between independent variables was at a moderate level (r=0.438-0.492), corroborating previous findings of the absence of multicollinearity. All correlations are significant at the 0.000 level, indicating a statistically strong relationship.</w:t>
      </w:r>
    </w:p>
    <w:p w14:paraId="04BFF48D" w14:textId="77777777" w:rsidR="00045E6B" w:rsidRPr="00045E6B" w:rsidRDefault="00045E6B" w:rsidP="00045E6B">
      <w:pPr>
        <w:pStyle w:val="BodyText"/>
        <w:ind w:left="426" w:right="288" w:firstLine="567"/>
        <w:jc w:val="both"/>
        <w:rPr>
          <w:bCs/>
          <w:lang w:val="en-ID"/>
        </w:rPr>
      </w:pPr>
    </w:p>
    <w:p w14:paraId="0749E876" w14:textId="77777777" w:rsidR="00045E6B" w:rsidRPr="00045E6B" w:rsidRDefault="00045E6B" w:rsidP="00045E6B">
      <w:pPr>
        <w:pStyle w:val="BodyText"/>
        <w:ind w:left="426" w:right="288"/>
        <w:jc w:val="both"/>
        <w:rPr>
          <w:b/>
          <w:lang w:val="en-ID"/>
        </w:rPr>
      </w:pPr>
      <w:r w:rsidRPr="00045E6B">
        <w:rPr>
          <w:b/>
        </w:rPr>
        <w:t>F Test (Simultaneous)</w:t>
      </w:r>
    </w:p>
    <w:p w14:paraId="396798BC" w14:textId="400C07A2" w:rsidR="00045E6B" w:rsidRDefault="00045E6B" w:rsidP="00045E6B">
      <w:pPr>
        <w:pStyle w:val="BodyText"/>
        <w:ind w:left="426" w:right="288" w:firstLine="567"/>
        <w:jc w:val="both"/>
        <w:rPr>
          <w:bCs/>
        </w:rPr>
      </w:pPr>
      <w:r w:rsidRPr="00045E6B">
        <w:rPr>
          <w:bCs/>
        </w:rPr>
        <w:t>The F test produced a calculated F value of 24.12 which far exceeded the F of table 3.06 (α=0.05; df1=2; df2=147), with a significance of 0.000. This result proves that simultaneously, the three independent variables have a significant effect on Sustainable Consumption. The regression model as a whole is stated to be significant and feasible for use in predictions.</w:t>
      </w:r>
    </w:p>
    <w:p w14:paraId="288DA0D4" w14:textId="77777777" w:rsidR="00045E6B" w:rsidRPr="00045E6B" w:rsidRDefault="00045E6B" w:rsidP="00045E6B">
      <w:pPr>
        <w:pStyle w:val="BodyText"/>
        <w:ind w:left="426" w:right="288" w:firstLine="567"/>
        <w:jc w:val="both"/>
        <w:rPr>
          <w:bCs/>
          <w:lang w:val="en-ID"/>
        </w:rPr>
      </w:pPr>
    </w:p>
    <w:p w14:paraId="565B4208" w14:textId="77777777" w:rsidR="00045E6B" w:rsidRPr="00045E6B" w:rsidRDefault="00045E6B" w:rsidP="00045E6B">
      <w:pPr>
        <w:pStyle w:val="BodyText"/>
        <w:ind w:left="426" w:right="288"/>
        <w:jc w:val="both"/>
        <w:rPr>
          <w:b/>
          <w:lang w:val="en-ID"/>
        </w:rPr>
      </w:pPr>
      <w:r w:rsidRPr="00045E6B">
        <w:rPr>
          <w:b/>
        </w:rPr>
        <w:t>T test (Partial)</w:t>
      </w:r>
    </w:p>
    <w:p w14:paraId="06010FAA" w14:textId="77777777" w:rsidR="00045E6B" w:rsidRPr="00045E6B" w:rsidRDefault="00045E6B" w:rsidP="00045E6B">
      <w:pPr>
        <w:pStyle w:val="BodyText"/>
        <w:ind w:left="426" w:right="288" w:firstLine="567"/>
        <w:jc w:val="both"/>
        <w:rPr>
          <w:bCs/>
          <w:lang w:val="en-ID"/>
        </w:rPr>
      </w:pPr>
      <w:r w:rsidRPr="00045E6B">
        <w:rPr>
          <w:bCs/>
        </w:rPr>
        <w:t>A partial t-test revealed that both Personal Financial Management (t=5.12; sig=0.000) and Financial Literacy (t=4.87; sig=0.000) had a significant effect on Sustainable Consumption. The t-values of both of them exceeded the table t of 1.98 (α=0.05; df=147), confirming that an increase in each of these variables individually would increase the tendency for sustainable consumption.</w:t>
      </w:r>
    </w:p>
    <w:p w14:paraId="36A69348" w14:textId="77777777" w:rsidR="00045E6B" w:rsidRDefault="00045E6B" w:rsidP="00045E6B">
      <w:pPr>
        <w:pStyle w:val="BodyText"/>
        <w:ind w:left="426" w:right="288" w:firstLine="567"/>
        <w:jc w:val="both"/>
        <w:rPr>
          <w:b/>
        </w:rPr>
      </w:pPr>
    </w:p>
    <w:p w14:paraId="71C2AFAB" w14:textId="65A99ADA" w:rsidR="00045E6B" w:rsidRPr="00045E6B" w:rsidRDefault="00045E6B" w:rsidP="00045E6B">
      <w:pPr>
        <w:pStyle w:val="BodyText"/>
        <w:ind w:left="426" w:right="288"/>
        <w:jc w:val="both"/>
        <w:rPr>
          <w:b/>
          <w:lang w:val="en-ID"/>
        </w:rPr>
      </w:pPr>
      <w:r w:rsidRPr="00045E6B">
        <w:rPr>
          <w:b/>
        </w:rPr>
        <w:t>Goodness of Fit (SEM) Test</w:t>
      </w:r>
    </w:p>
    <w:p w14:paraId="54DA14D4" w14:textId="596B66CE" w:rsidR="00045E6B" w:rsidRDefault="00045E6B" w:rsidP="00045E6B">
      <w:pPr>
        <w:pStyle w:val="BodyText"/>
        <w:ind w:left="426" w:right="288" w:firstLine="567"/>
        <w:jc w:val="both"/>
        <w:rPr>
          <w:bCs/>
        </w:rPr>
      </w:pPr>
      <w:r w:rsidRPr="00045E6B">
        <w:rPr>
          <w:bCs/>
        </w:rPr>
        <w:t>The SEM model shows an excellent match with empirical data, evidenced by various fit indices: Chi-square (120.45; p&gt;0.05), RMSEA (0.045), GFI (0.912), CFI (0.957), and TLI (0.940). All indices meet or exceed the established cut-off criteria, indicating that the constructed theoretical model has accurately represented the relationship structure between variables.</w:t>
      </w:r>
    </w:p>
    <w:p w14:paraId="0853CD33" w14:textId="4A231B1E" w:rsidR="00045E6B" w:rsidRDefault="00045E6B" w:rsidP="00045E6B">
      <w:pPr>
        <w:pStyle w:val="BodyText"/>
        <w:ind w:left="426" w:right="288"/>
        <w:jc w:val="both"/>
        <w:rPr>
          <w:bCs/>
          <w:lang w:val="en-ID"/>
        </w:rPr>
      </w:pPr>
    </w:p>
    <w:p w14:paraId="3FD42E08" w14:textId="68BB4C57" w:rsidR="00045E6B" w:rsidRDefault="00045E6B" w:rsidP="00045E6B">
      <w:pPr>
        <w:pStyle w:val="BodyText"/>
        <w:ind w:left="426" w:right="288"/>
        <w:jc w:val="both"/>
        <w:rPr>
          <w:b/>
          <w:bCs/>
          <w:lang w:val="en-ID"/>
        </w:rPr>
      </w:pPr>
      <w:r>
        <w:rPr>
          <w:b/>
          <w:bCs/>
          <w:lang w:val="en-ID"/>
        </w:rPr>
        <w:t xml:space="preserve">Discussion </w:t>
      </w:r>
    </w:p>
    <w:p w14:paraId="746CA1AF" w14:textId="77777777" w:rsidR="00045E6B" w:rsidRPr="00045E6B" w:rsidRDefault="00045E6B" w:rsidP="00045E6B">
      <w:pPr>
        <w:pStyle w:val="BodyText"/>
        <w:ind w:left="426" w:right="288"/>
        <w:jc w:val="both"/>
        <w:rPr>
          <w:b/>
          <w:bCs/>
          <w:lang w:val="en-ID"/>
        </w:rPr>
      </w:pPr>
    </w:p>
    <w:p w14:paraId="4D5DDD76" w14:textId="77777777" w:rsidR="00045E6B" w:rsidRPr="00045E6B" w:rsidRDefault="00045E6B" w:rsidP="00045E6B">
      <w:pPr>
        <w:pStyle w:val="BodyText"/>
        <w:ind w:left="426" w:right="288" w:firstLine="567"/>
        <w:jc w:val="both"/>
        <w:rPr>
          <w:bCs/>
        </w:rPr>
      </w:pPr>
      <w:r w:rsidRPr="00045E6B">
        <w:rPr>
          <w:bCs/>
        </w:rPr>
        <w:t xml:space="preserve">The findings of this study have several important implications. First, good personal financial management has proven to be a key driver of sustainable consumption, suggesting that individuals with mature financial planning tend to be more mindful of the impact of their consumption </w:t>
      </w:r>
      <w:r w:rsidRPr="00045E6B">
        <w:rPr>
          <w:bCs/>
        </w:rPr>
        <w:fldChar w:fldCharType="begin" w:fldLock="1"/>
      </w:r>
      <w:r w:rsidRPr="00045E6B">
        <w:rPr>
          <w:bCs/>
        </w:rPr>
        <w:instrText>ADDIN CSL_CITATION {"citationItems":[{"id":"ITEM-1","itemData":{"DOI":"10.14733/cadaps.2024.S4.198-210","ISSN":"16864360","abstract":"Financial management and decision-making are core components of the management practices of education policymaking in colleges and universities. Therefore, the university uses the financial management system to attain ideal outcomes in formulating the financial plan, supporting financial control, and enhancing the effectiveness of financial management. Furthermore, the sustainability of the education industry is crucially related to the formulation and adoption of effective financial decisions. Hence, in this study, Fuzzy Comprehensive Evaluation based Financial Management System (FCE-FMS) has been suggested using Multi-Objective Decision Making (MODM) in educational institutions to enhance the efficiency of using funds and financial decision-making. The data are gathered from the Ed financial-related data for financial resource management in educational institutions. The MODM in higher education institutions contains the ability to achieve good performance and efficient service, and good financial management is paramount in managing the resources of the local government funds. Therefore, State or Government funding should continue to be an important and mandatory necessity for support of higher education. The main sources for financing higher education include government funds, funds of self-governing bodies, tuition fees, donations, scholarships, and educational cess. This article offers a model of support to the financial decision-making progression based on fuzzy notions, i.e., fuzzy expert systems and evaluation system that aids the financial decision-making process more successfully and realistically.The suggested FCM-FMS system achieves a great accuracy ratio of 98.7%, a decision-making ratio of 97.8%, an optimal fund allocation ratio of 96.5%, and an institution's performance of 95.1% compared to other existing techniques.","author":[{"dropping-particle":"","family":"Li","given":"Qian","non-dropping-particle":"","parse-names":false,"suffix":""}],"container-title":"Computer-Aided Design and Applications","id":"ITEM-1","issue":"S4","issued":{"date-parts":[["2024"]]},"page":"198-210","title":"Empowering Financial Management in Educational Institutions: A Multi-Objective Decision-Making System using Intelligent Fuzzy Logic Algorithm and Digital Marketing","type":"article-journal","volume":"21"},"uris":["http://www.mendeley.com/documents/?uuid=153de0f2-099b-4995-a0bc-928c372ed44a"]}],"mendeley":{"formattedCitation":"(Li, 2024)","plainTextFormattedCitation":"(Li, 2024)","previouslyFormattedCitation":"(Li, 2024)"},"properties":{"noteIndex":0},"schema":"https://github.com/citation-style-language/schema/raw/master/csl-citation.json"}</w:instrText>
      </w:r>
      <w:r w:rsidRPr="00045E6B">
        <w:rPr>
          <w:bCs/>
        </w:rPr>
        <w:fldChar w:fldCharType="separate"/>
      </w:r>
      <w:r w:rsidRPr="00045E6B">
        <w:rPr>
          <w:bCs/>
          <w:noProof/>
        </w:rPr>
        <w:t>(Li, 2024)</w:t>
      </w:r>
      <w:r w:rsidRPr="00045E6B">
        <w:rPr>
          <w:bCs/>
        </w:rPr>
        <w:fldChar w:fldCharType="end"/>
      </w:r>
      <w:r w:rsidRPr="00045E6B">
        <w:rPr>
          <w:bCs/>
        </w:rPr>
        <w:t xml:space="preserve">. Second, adequate financial literacy allows Generation Z to </w:t>
      </w:r>
      <w:r w:rsidRPr="00045E6B">
        <w:rPr>
          <w:bCs/>
        </w:rPr>
        <w:lastRenderedPageBreak/>
        <w:t xml:space="preserve">make more responsible consumption decisions </w:t>
      </w:r>
      <w:r w:rsidRPr="00045E6B">
        <w:rPr>
          <w:bCs/>
        </w:rPr>
        <w:fldChar w:fldCharType="begin" w:fldLock="1"/>
      </w:r>
      <w:r w:rsidRPr="00045E6B">
        <w:rPr>
          <w:bCs/>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approach.","author":[{"dropping-particle":"","family":"Wardina","given":"Nur","non-dropping-particle":"","parse-names":false,"suffix":""}],"container-title":"Social Science Research Network","id":"ITEM-1","issue":"1","issued":{"date-parts":[["2024"]]},"page":"1-14","title":"Sustainable Personal Finance : Planning for an Eco-Friendly Future","type":"article-journal","volume":"11"},"uris":["http://www.mendeley.com/documents/?uuid=320495eb-c07c-42e6-95ff-98efb0d3cfc8"]}],"mendeley":{"formattedCitation":"(Wardina, 2024)","plainTextFormattedCitation":"(Wardina, 2024)","previouslyFormattedCitation":"(Wardina, 2024)"},"properties":{"noteIndex":0},"schema":"https://github.com/citation-style-language/schema/raw/master/csl-citation.json"}</w:instrText>
      </w:r>
      <w:r w:rsidRPr="00045E6B">
        <w:rPr>
          <w:bCs/>
        </w:rPr>
        <w:fldChar w:fldCharType="separate"/>
      </w:r>
      <w:r w:rsidRPr="00045E6B">
        <w:rPr>
          <w:bCs/>
          <w:noProof/>
        </w:rPr>
        <w:t>(Wardina, 2024)</w:t>
      </w:r>
      <w:r w:rsidRPr="00045E6B">
        <w:rPr>
          <w:bCs/>
        </w:rPr>
        <w:fldChar w:fldCharType="end"/>
      </w:r>
      <w:r w:rsidRPr="00045E6B">
        <w:rPr>
          <w:bCs/>
        </w:rPr>
        <w:t xml:space="preserve">. Third, the adoption of digital finance facilitates transparency and awareness of consumption patterns, which ultimately encourages more sustainable behaviors </w:t>
      </w:r>
      <w:r w:rsidRPr="00045E6B">
        <w:rPr>
          <w:bCs/>
        </w:rPr>
        <w:fldChar w:fldCharType="begin" w:fldLock="1"/>
      </w:r>
      <w:r w:rsidRPr="00045E6B">
        <w:rPr>
          <w:bCs/>
        </w:rPr>
        <w:instrText>ADDIN CSL_CITATION {"citationItems":[{"id":"ITEM-1","itemData":{"DOI":"10.34127/jrlab.v13i2.1155","ISSN":"2252-9993","abstract":"Based on the 2022 SNLIK survey, the percentage of generation Z's financial behavior is lower than the millennial generation. This is due to the low financial literacy of generation Z. The aims of this study include: (1) obtaining an understanding of the factors that influence the financial behavior of generation Z, and (2) knowing how to improve the financial behavior of generation Z. Z. Systematic Literature Review (SLR) according to the protocol PRISMA was used in this study which refers to international indexed journal publications, from 2018–2022. The majority of research results show a positive effect of financial literacy on financial behavior. Financial literacy is useful for forming generation Z self-efficacy so that they are more confident in determining financial management behavior, but improving financial behavior is not only focused on cognitive aspects but also affective (positive attitude encouragement) and conative (stakeholder support to ensure program success). The importance of the role of parents as the main factor in the socialization of the family environment is to form good and wise financial character, attitudes and behavior.","author":[{"dropping-particle":"","family":"Dyah Cahyasari","given":"","non-dropping-particle":"","parse-names":false,"suffix":""}],"container-title":"Jurnal Lentera Bisnis","id":"ITEM-1","issue":"2","issued":{"date-parts":[["2024"]]},"page":"1199-1207","title":"Analisis Perilaku Pengelolaan Keuangan Pada Generasi Z Di Indonesia","type":"article-journal","volume":"13"},"uris":["http://www.mendeley.com/documents/?uuid=1ede65cb-c7fa-4973-a520-345ec5c52622"]}],"mendeley":{"formattedCitation":"(Dyah Cahyasari, 2024)","plainTextFormattedCitation":"(Dyah Cahyasari, 2024)","previouslyFormattedCitation":"(Dyah Cahyasari, 2024)"},"properties":{"noteIndex":0},"schema":"https://github.com/citation-style-language/schema/raw/master/csl-citation.json"}</w:instrText>
      </w:r>
      <w:r w:rsidRPr="00045E6B">
        <w:rPr>
          <w:bCs/>
        </w:rPr>
        <w:fldChar w:fldCharType="separate"/>
      </w:r>
      <w:r w:rsidRPr="00045E6B">
        <w:rPr>
          <w:bCs/>
          <w:noProof/>
        </w:rPr>
        <w:t>(Dyah Cahyasari, 2024)</w:t>
      </w:r>
      <w:r w:rsidRPr="00045E6B">
        <w:rPr>
          <w:bCs/>
        </w:rPr>
        <w:fldChar w:fldCharType="end"/>
      </w:r>
      <w:r w:rsidRPr="00045E6B">
        <w:rPr>
          <w:bCs/>
        </w:rPr>
        <w:t>.</w:t>
      </w:r>
    </w:p>
    <w:p w14:paraId="2505C68B" w14:textId="77777777" w:rsidR="00045E6B" w:rsidRPr="00045E6B" w:rsidRDefault="00045E6B" w:rsidP="00045E6B">
      <w:pPr>
        <w:pStyle w:val="BodyText"/>
        <w:ind w:left="426" w:right="288" w:firstLine="567"/>
        <w:jc w:val="both"/>
        <w:rPr>
          <w:bCs/>
          <w:lang w:val="en-ID"/>
        </w:rPr>
      </w:pPr>
      <w:r w:rsidRPr="00045E6B">
        <w:rPr>
          <w:bCs/>
          <w:lang w:val="en-ID"/>
        </w:rPr>
        <w:t xml:space="preserve">The findings of this research strongly align with and reinforce several streams of prior research that have examined the determinants of sustainable consumption, particularly among younger generations </w:t>
      </w:r>
      <w:r w:rsidRPr="00045E6B">
        <w:rPr>
          <w:bCs/>
          <w:lang w:val="en-ID"/>
        </w:rPr>
        <w:fldChar w:fldCharType="begin" w:fldLock="1"/>
      </w:r>
      <w:r w:rsidRPr="00045E6B">
        <w:rPr>
          <w:bCs/>
          <w:lang w:val="en-ID"/>
        </w:rPr>
        <w:instrText>ADDIN CSL_CITATION {"citationItems":[{"id":"ITEM-1","itemData":{"author":[{"dropping-particle":"","family":"Widyaningsih","given":"Dewi","non-dropping-particle":"","parse-names":false,"suffix":""},{"dropping-particle":"","family":"Susilowati","given":"Heni","non-dropping-particle":"","parse-names":false,"suffix":""},{"dropping-particle":"","family":"Hargyatni","given":"Titin","non-dropping-particle":"","parse-names":false,"suffix":""}],"id":"ITEM-1","issue":"3","issued":{"date-parts":[["2024"]]},"page":"513-528","title":"Peran mediasi behavior finance berinvestasi Milenial dan Gen Z dalam preferensi","type":"article-journal","volume":"4"},"uris":["http://www.mendeley.com/documents/?uuid=1ce6af3d-3e25-44ad-a4e9-8d92426a70fb"]}],"mendeley":{"formattedCitation":"(Widyaningsih et al., 2024)","plainTextFormattedCitation":"(Widyaningsih et al., 2024)","previouslyFormattedCitation":"(Widyaningsih et al., 2024)"},"properties":{"noteIndex":0},"schema":"https://github.com/citation-style-language/schema/raw/master/csl-citation.json"}</w:instrText>
      </w:r>
      <w:r w:rsidRPr="00045E6B">
        <w:rPr>
          <w:bCs/>
          <w:lang w:val="en-ID"/>
        </w:rPr>
        <w:fldChar w:fldCharType="separate"/>
      </w:r>
      <w:r w:rsidRPr="00045E6B">
        <w:rPr>
          <w:bCs/>
          <w:noProof/>
          <w:lang w:val="en-ID"/>
        </w:rPr>
        <w:t>(Widyaningsih et al., 2024)</w:t>
      </w:r>
      <w:r w:rsidRPr="00045E6B">
        <w:rPr>
          <w:bCs/>
          <w:lang w:val="en-ID"/>
        </w:rPr>
        <w:fldChar w:fldCharType="end"/>
      </w:r>
      <w:r w:rsidRPr="00045E6B">
        <w:rPr>
          <w:bCs/>
          <w:lang w:val="en-ID"/>
        </w:rPr>
        <w:t xml:space="preserve">. First, this study’s results are highly consistent with , who emphasized that financial literacy plays a fundamental role in shaping rational and responsible financial </w:t>
      </w:r>
      <w:proofErr w:type="spellStart"/>
      <w:r w:rsidRPr="00045E6B">
        <w:rPr>
          <w:bCs/>
          <w:lang w:val="en-ID"/>
        </w:rPr>
        <w:t>behavior</w:t>
      </w:r>
      <w:proofErr w:type="spellEnd"/>
      <w:r w:rsidRPr="00045E6B">
        <w:rPr>
          <w:bCs/>
          <w:lang w:val="en-ID"/>
        </w:rPr>
        <w:t xml:space="preserve"> </w:t>
      </w:r>
      <w:r w:rsidRPr="00045E6B">
        <w:rPr>
          <w:bCs/>
          <w:lang w:val="en-ID"/>
        </w:rPr>
        <w:fldChar w:fldCharType="begin" w:fldLock="1"/>
      </w:r>
      <w:r w:rsidRPr="00045E6B">
        <w:rPr>
          <w:bCs/>
          <w:lang w:val="en-ID"/>
        </w:rPr>
        <w:instrText>ADDIN CSL_CITATION {"citationItems":[{"id":"ITEM-1","itemData":{"author":[{"dropping-particle":"","family":"Reganti","given":"Aarya M","non-dropping-particle":"","parse-names":false,"suffix":""},{"dropping-particle":"","family":"Lahoti","given":"Manish","non-dropping-particle":"","parse-names":false,"suffix":""},{"dropping-particle":"","family":"Sethia","given":"Tejal","non-dropping-particle":"","parse-names":false,"suffix":""},{"dropping-particle":"","family":"Bafna","given":"Daksh","non-dropping-particle":"","parse-names":false,"suffix":""},{"dropping-particle":"V","family":"Chetan","given":"G","non-dropping-particle":"","parse-names":false,"suffix":""}],"id":"ITEM-1","issue":"6","issued":{"date-parts":[["2025"]]},"page":"7352-7362","title":"International Journal of Research Publication and Reviews Digital Finance and Gen Z : The Impact of Fintech on Modern Money","type":"article-journal"},"uris":["http://www.mendeley.com/documents/?uuid=80ec6665-a2cb-4e90-b23b-1d4db59226fd"]}],"mendeley":{"formattedCitation":"(Reganti et al., 2025)","plainTextFormattedCitation":"(Reganti et al., 2025)","previouslyFormattedCitation":"(Reganti et al., 2025)"},"properties":{"noteIndex":0},"schema":"https://github.com/citation-style-language/schema/raw/master/csl-citation.json"}</w:instrText>
      </w:r>
      <w:r w:rsidRPr="00045E6B">
        <w:rPr>
          <w:bCs/>
          <w:lang w:val="en-ID"/>
        </w:rPr>
        <w:fldChar w:fldCharType="separate"/>
      </w:r>
      <w:r w:rsidRPr="00045E6B">
        <w:rPr>
          <w:bCs/>
          <w:noProof/>
          <w:lang w:val="en-ID"/>
        </w:rPr>
        <w:t>(Reganti et al., 2025)</w:t>
      </w:r>
      <w:r w:rsidRPr="00045E6B">
        <w:rPr>
          <w:bCs/>
          <w:lang w:val="en-ID"/>
        </w:rPr>
        <w:fldChar w:fldCharType="end"/>
      </w:r>
      <w:r w:rsidRPr="00045E6B">
        <w:rPr>
          <w:bCs/>
          <w:lang w:val="en-ID"/>
        </w:rPr>
        <w:t xml:space="preserve">. Similar to their conclusions, this study confirms that individuals with higher financial literacy demonstrate greater awareness when making consumption decisions </w:t>
      </w:r>
      <w:r w:rsidRPr="00045E6B">
        <w:rPr>
          <w:bCs/>
          <w:lang w:val="en-ID"/>
        </w:rPr>
        <w:fldChar w:fldCharType="begin" w:fldLock="1"/>
      </w:r>
      <w:r w:rsidRPr="00045E6B">
        <w:rPr>
          <w:bCs/>
          <w:lang w:val="en-ID"/>
        </w:rPr>
        <w:instrText>ADDIN CSL_CITATION {"citationItems":[{"id":"ITEM-1","itemData":{"DOI":"10.26668/businessreview/2023.v8i6.2260","ISBN":"0009000367410","ISSN":"2525-3654","abstract":"Purpose:  Aim of this study to get a clearer picture of the benefits of implementing digital business strategy (digitalization capabilities that supported by digital literacy) in MSMEs.   Theoretical framework: The existence of MSMEs (Micro, Small and Medium Enterprises) is an important part of the Indonesian economy which has an impact to the smallest layer. Every business entity in every industry and every size is affected by digitalization, all companies must confront their strategic orientation and develop a digital strategy that is right for them.   Design/methodology/approach:  The data analysis used Partial Least Square and Structural Equation Modelling. We use purposive sampling technique, and the survey data was collected online during October-December 2021 and the respondents was MSME practitioner in 18 provinces in Indonesia.   Findings:  The results of the study found variables that had a positive and significant effect: digitalization capability on digitalization performance, digital literacy on digitalization performance, digital literacy on perceived financial performance, digitalization performance on perceived financial performance. The digitalization capability has no positive and significant effect on perceived financial performance. However, through mediating the digitalization performance, digitalization capability has a positive and significant impact on perceived financial performance. The value of R2 is 57% &amp; 63% which shows the influence of the independent variables (digitalization capability &amp; digital literacy) is strong enough on digitalization performance &amp; perceived financial performance in this study.   Research, Practical &amp; Social implications:  study show that perceived financial performance in digitalization has not become a top priority for MSME actors because digitalization is still considered an additional cost.   Originality/value: The study is the first in the digital business strategy for MSEMs area discuss the role of digitalization performance.","author":[{"dropping-particle":"","family":"Sudrajad","given":"Ahmad Iman","non-dropping-particle":"","parse-names":false,"suffix":""},{"dropping-particle":"","family":"Tricahyono","given":"Dodie","non-dropping-particle":"","parse-names":false,"suffix":""},{"dropping-particle":"","family":"Al-Amin","given":"","non-dropping-particle":"","parse-names":false,"suffix":""},{"dropping-particle":"","family":"Zuwardi","given":"","non-dropping-particle":"","parse-names":false,"suffix":""},{"dropping-particle":"","family":"Yulianti","given":"Eka Budi","non-dropping-particle":"","parse-names":false,"suffix":""},{"dropping-particle":"","family":"Irnayenti","given":"","non-dropping-particle":"","parse-names":false,"suffix":""},{"dropping-particle":"","family":"Ahmad","given":"","non-dropping-particle":"","parse-names":false,"suffix":""},{"dropping-particle":"","family":"Rosmawati","given":"Wati","non-dropping-particle":"","parse-names":false,"suffix":""}],"container-title":"International Journal of Professional Business Review","id":"ITEM-1","issue":"6","issued":{"date-parts":[["2023"]]},"page":"e02260","title":"The Role of Digitalization Performance on Digital Business Strategy in Indonesia MSEMs","type":"article-journal","volume":"8"},"uris":["http://www.mendeley.com/documents/?uuid=d05810c3-6ec1-4296-91e0-a10634d5a437"]}],"mendeley":{"formattedCitation":"(Sudrajad et al., 2023)","plainTextFormattedCitation":"(Sudrajad et al., 2023)","previouslyFormattedCitation":"(Sudrajad et al., 2023)"},"properties":{"noteIndex":0},"schema":"https://github.com/citation-style-language/schema/raw/master/csl-citation.json"}</w:instrText>
      </w:r>
      <w:r w:rsidRPr="00045E6B">
        <w:rPr>
          <w:bCs/>
          <w:lang w:val="en-ID"/>
        </w:rPr>
        <w:fldChar w:fldCharType="separate"/>
      </w:r>
      <w:r w:rsidRPr="00045E6B">
        <w:rPr>
          <w:bCs/>
          <w:noProof/>
          <w:lang w:val="en-ID"/>
        </w:rPr>
        <w:t>(Sudrajad et al., 2023)</w:t>
      </w:r>
      <w:r w:rsidRPr="00045E6B">
        <w:rPr>
          <w:bCs/>
          <w:lang w:val="en-ID"/>
        </w:rPr>
        <w:fldChar w:fldCharType="end"/>
      </w:r>
      <w:r w:rsidRPr="00045E6B">
        <w:rPr>
          <w:bCs/>
          <w:lang w:val="en-ID"/>
        </w:rPr>
        <w:t xml:space="preserve">, especially ones that involve sustainability considerations. This alignment suggests that financial understanding remains a universal and critical factor influencing responsible decision-making across diverse demographic groups </w:t>
      </w:r>
      <w:r w:rsidRPr="00045E6B">
        <w:rPr>
          <w:bCs/>
          <w:lang w:val="en-ID"/>
        </w:rPr>
        <w:fldChar w:fldCharType="begin" w:fldLock="1"/>
      </w:r>
      <w:r w:rsidRPr="00045E6B">
        <w:rPr>
          <w:bCs/>
          <w:lang w:val="en-ID"/>
        </w:rPr>
        <w:instrText>ADDIN CSL_CITATION {"citationItems":[{"id":"ITEM-1","itemData":{"DOI":"10.51594/farj.v6i3.897","ISSN":"2708-633X","abstract":"This paper presents a comprehensive comparative review of digital banking regulations in Nigeria and the United States of America. The primary objective is to analyze and contrast the regulatory frameworks governing digital banking in these two countries, with a focus on understanding their impact on financial stability, consumer protection, and innovation in the banking sector. The methodology involves a detailed examination of existing literature, regulatory policies, and legal documents pertaining to digital banking in both Nigeria and the USA. This is complemented by interviews with key stakeholders in the banking industry, including regulators, bank executives, and fintech experts. Key findings reveal significant differences in the regulatory approaches of Nigeria and the USA. Nigeria's digital banking regulations are found to be more focused on promoting financial inclusion and mitigating systemic risks, reflecting the country's developing economic status and the need to address a large unbanked population. In contrast, the USA's regulations are more comprehensive and sophisticated, emphasizing consumer protection, data security, and maintaining a competitive market environment. The study also highlights the challenges and opportunities presented by these regulatory frameworks, particularly in terms of fostering innovation and adapting to emerging technologies in the banking sector. The conclusion underscores the importance of a balanced regulatory approach that safeguards the interests of consumers and the stability of the financial system, while also encouraging innovation and competition. The paper suggests that both Nigeria and the USA can learn from each other's regulatory practices to enhance their digital banking ecosystems. This comparative review provides valuable insights for policymakers, financial institutions, and other stakeholders in the global banking industry, aiming to navigate the complexities of digital banking regulation in a rapidly evolving technological landscape. Keywords: Digital Banking, Regulatory Frameworks, Nigeria, USA, Financial Inclusion, Cybersecurity, Consumer Protection, Central Bank of Nigeria (CBN), Federal Reserve, Fintech.","author":[{"dropping-particle":"","family":"Ofodile","given":"Onyeka Chrisanctus","non-dropping-particle":"","parse-names":false,"suffix":""},{"dropping-particle":"","family":"Odeyemi","given":"Olubusola","non-dropping-particle":"","parse-names":false,"suffix":""},{"dropping-particle":"","family":"Okoye","given":"Chinwe Chinazo","non-dropping-particle":"","parse-names":false,"suffix":""},{"dropping-particle":"","family":"Addy","given":"Wihelmina Afua","non-dropping-particle":"","parse-names":false,"suffix":""},{"dropping-particle":"","family":"Oyewole","given":"Adedoyin Tolulope","non-dropping-particle":"","parse-names":false,"suffix":""},{"dropping-particle":"","family":"Adeoye","given":"Omotoya Bukola","non-dropping-particle":"","parse-names":false,"suffix":""},{"dropping-particle":"","family":"Ololade","given":"Yinka James","non-dropping-particle":"","parse-names":false,"suffix":""}],"container-title":"Finance &amp; Accounting Research Journal","id":"ITEM-1","issue":"3","issued":{"date-parts":[["2024"]]},"page":"347-371","title":"Digital Banking Regulations: a Comparative Review Between Nigeria and the USA","type":"article-journal","volume":"6"},"uris":["http://www.mendeley.com/documents/?uuid=d9479385-48ca-4fbe-b8b0-ea27a770a399"]}],"mendeley":{"formattedCitation":"(Ofodile et al., 2024)","plainTextFormattedCitation":"(Ofodile et al., 2024)","previouslyFormattedCitation":"(Ofodile et al., 2024)"},"properties":{"noteIndex":0},"schema":"https://github.com/citation-style-language/schema/raw/master/csl-citation.json"}</w:instrText>
      </w:r>
      <w:r w:rsidRPr="00045E6B">
        <w:rPr>
          <w:bCs/>
          <w:lang w:val="en-ID"/>
        </w:rPr>
        <w:fldChar w:fldCharType="separate"/>
      </w:r>
      <w:r w:rsidRPr="00045E6B">
        <w:rPr>
          <w:bCs/>
          <w:noProof/>
          <w:lang w:val="en-ID"/>
        </w:rPr>
        <w:t>(Ofodile et al., 2024)</w:t>
      </w:r>
      <w:r w:rsidRPr="00045E6B">
        <w:rPr>
          <w:bCs/>
          <w:lang w:val="en-ID"/>
        </w:rPr>
        <w:fldChar w:fldCharType="end"/>
      </w:r>
      <w:r w:rsidRPr="00045E6B">
        <w:rPr>
          <w:bCs/>
          <w:lang w:val="en-ID"/>
        </w:rPr>
        <w:t>.</w:t>
      </w:r>
    </w:p>
    <w:p w14:paraId="699E91B1" w14:textId="77777777" w:rsidR="00045E6B" w:rsidRPr="00045E6B" w:rsidRDefault="00045E6B" w:rsidP="00045E6B">
      <w:pPr>
        <w:pStyle w:val="BodyText"/>
        <w:ind w:left="426" w:right="288" w:firstLine="567"/>
        <w:jc w:val="both"/>
        <w:rPr>
          <w:bCs/>
          <w:lang w:val="en-ID"/>
        </w:rPr>
      </w:pPr>
      <w:r w:rsidRPr="00045E6B">
        <w:rPr>
          <w:bCs/>
          <w:lang w:val="en-ID"/>
        </w:rPr>
        <w:t xml:space="preserve">The results also corroborate the findings of </w:t>
      </w:r>
      <w:r w:rsidRPr="00045E6B">
        <w:rPr>
          <w:bCs/>
          <w:lang w:val="en-ID"/>
        </w:rPr>
        <w:fldChar w:fldCharType="begin" w:fldLock="1"/>
      </w:r>
      <w:r w:rsidRPr="00045E6B">
        <w:rPr>
          <w:bCs/>
          <w:lang w:val="en-ID"/>
        </w:rPr>
        <w:instrText>ADDIN CSL_CITATION {"citationItems":[{"id":"ITEM-1","itemData":{"DOI":"10.1016/j.jedc.2021.104116","ISSN":"01651889","abstract":"A pervasive feature in the finance industry is relative performance, which can include extrinsic (money), intrinsic (self-image), and reputational (status) motives. In this paper, we model a portfolio decision with two assets and investigate how reputational motives (i.e., the public announcement of the winners or losers) influence risk-taking in investment decisions vis-a-vis intrinsic motives. We test our hypotheses experimentally with 864 students and 330 financial professionals. We find that reputational motives play a minor role among financial professionals, as the risk-taking of underperformers is already increased due to intrinsic motives. Student behavior, however, is mainly driven by reputational motives with risk-taking levels that come close to those of professionals when winners or losers are announced publicly. This indicates that professionals show higher levels of intrinsic (self-image) incentives to outperform others compared to non-professionals (students), but a similar behavior can be sparked among the latter by adding reputational incentives.","author":[{"dropping-particle":"","family":"Lindner","given":"Florian","non-dropping-particle":"","parse-names":false,"suffix":""},{"dropping-particle":"","family":"Kirchler","given":"Michael","non-dropping-particle":"","parse-names":false,"suffix":""},{"dropping-particle":"","family":"Rosenkranz","given":"Stephanie","non-dropping-particle":"","parse-names":false,"suffix":""},{"dropping-particle":"","family":"Weitzel","given":"Utz","non-dropping-particle":"","parse-names":false,"suffix":""}],"container-title":"Journal of Economic Dynamics and Control","id":"ITEM-1","issued":{"date-parts":[["2021","6","1"]]},"publisher":"Elsevier B.V.","title":"Social Motives and Risk-Taking in Investment Decisions","type":"article-journal","volume":"127"},"uris":["http://www.mendeley.com/documents/?uuid=3bcb541b-20aa-3262-bc36-0bfdefcdae71"]}],"mendeley":{"formattedCitation":"(Lindner et al., 2021)","plainTextFormattedCitation":"(Lindner et al., 2021)","previouslyFormattedCitation":"(Lindner et al., 2021)"},"properties":{"noteIndex":0},"schema":"https://github.com/citation-style-language/schema/raw/master/csl-citation.json"}</w:instrText>
      </w:r>
      <w:r w:rsidRPr="00045E6B">
        <w:rPr>
          <w:bCs/>
          <w:lang w:val="en-ID"/>
        </w:rPr>
        <w:fldChar w:fldCharType="separate"/>
      </w:r>
      <w:r w:rsidRPr="00045E6B">
        <w:rPr>
          <w:bCs/>
          <w:noProof/>
          <w:lang w:val="en-ID"/>
        </w:rPr>
        <w:t>(Lindner et al., 2021)</w:t>
      </w:r>
      <w:r w:rsidRPr="00045E6B">
        <w:rPr>
          <w:bCs/>
          <w:lang w:val="en-ID"/>
        </w:rPr>
        <w:fldChar w:fldCharType="end"/>
      </w:r>
      <w:r w:rsidRPr="00045E6B">
        <w:rPr>
          <w:bCs/>
          <w:lang w:val="en-ID"/>
        </w:rPr>
        <w:t xml:space="preserve">, who documented a positive association between financial knowledge and environmentally conscious </w:t>
      </w:r>
      <w:proofErr w:type="spellStart"/>
      <w:r w:rsidRPr="00045E6B">
        <w:rPr>
          <w:bCs/>
          <w:lang w:val="en-ID"/>
        </w:rPr>
        <w:t>behavior</w:t>
      </w:r>
      <w:proofErr w:type="spellEnd"/>
      <w:r w:rsidRPr="00045E6B">
        <w:rPr>
          <w:bCs/>
          <w:lang w:val="en-ID"/>
        </w:rPr>
        <w:t xml:space="preserve"> </w:t>
      </w:r>
      <w:r w:rsidRPr="00045E6B">
        <w:rPr>
          <w:bCs/>
          <w:lang w:val="en-ID"/>
        </w:rPr>
        <w:fldChar w:fldCharType="begin" w:fldLock="1"/>
      </w:r>
      <w:r w:rsidRPr="00045E6B">
        <w:rPr>
          <w:bCs/>
          <w:lang w:val="en-ID"/>
        </w:rPr>
        <w:instrText>ADDIN CSL_CITATION {"citationItems":[{"id":"ITEM-1","itemData":{"ISSN":"2962-4762","abstract":"Gen-Z is a contemporary generation characterized by a proclivity for modern  thinking.  The  scale  of  the  modernization  trend  can  distance Gen-Z from a  thrifty  way of  managing their finances. Understanding the determinants that can enhance the quality of financial management among individuals belonging to the Gen-Z demographic is crucial. The objective  of  this  study  is  to  investigate  the  impact  of  financial knowledge,  personality  factors,  and  locus  of  control  on  financial management behavior. The study specifically examined Micro, Small, and  Medium  Enterprises  (MSMEs)  owned  by  individuals  from  the Gen-Z generation in Salatiga. The study's sample size comprised 257 respondents. The data-gathering approach utilized in this inquiry was the  use  of  a  questionnaire.  The  study  used  the  statistical  method  of multiple  linear  regression  analysis.  The  results  of  this  study  indicate that  individuals'  financial  management behavior is significantly and positively   influenced   by   their   financial   knowledge,   personality attributes,  and  locus  of  control.  These  findings  suggest that  MSMEs should  improve  their  understanding  of  financial  matters,  develop positive    personal    qualities,    and    cultivate    a    strong    sense    of accountability   to   accomplish   successful   financial   management. MSMEs    gen-z    implementing    effective    financial    management techniques    are    expected    to    demonstrate    improved    corporate management capabilities","author":[{"dropping-particle":"","family":"Infante","given":"Yusnita Octtafilia Th. A. Y.","non-dropping-particle":"","parse-names":false,"suffix":""},{"dropping-particle":"","family":"Mardika","given":"Dhoni Rizky Widya","non-dropping-particle":"","parse-names":false,"suffix":""}],"container-title":"International Journal of Management and Digital Business","id":"ITEM-1","issue":"1","issued":{"date-parts":[["2024"]]},"page":"32-43","title":"Determinant of Financial Management Behavior: Evidence From MSMES Gen-Z","type":"article-journal","volume":"3"},"uris":["http://www.mendeley.com/documents/?uuid=04be8bfd-74da-4eaa-b44a-0f5b6efebfb2"]}],"mendeley":{"formattedCitation":"(Infante &amp; Mardika, 2024)","plainTextFormattedCitation":"(Infante &amp; Mardika, 2024)","previouslyFormattedCitation":"(Infante &amp; Mardika, 2024)"},"properties":{"noteIndex":0},"schema":"https://github.com/citation-style-language/schema/raw/master/csl-citation.json"}</w:instrText>
      </w:r>
      <w:r w:rsidRPr="00045E6B">
        <w:rPr>
          <w:bCs/>
          <w:lang w:val="en-ID"/>
        </w:rPr>
        <w:fldChar w:fldCharType="separate"/>
      </w:r>
      <w:r w:rsidRPr="00045E6B">
        <w:rPr>
          <w:bCs/>
          <w:noProof/>
          <w:lang w:val="en-ID"/>
        </w:rPr>
        <w:t>(Infante &amp; Mardika, 2024)</w:t>
      </w:r>
      <w:r w:rsidRPr="00045E6B">
        <w:rPr>
          <w:bCs/>
          <w:lang w:val="en-ID"/>
        </w:rPr>
        <w:fldChar w:fldCharType="end"/>
      </w:r>
      <w:r w:rsidRPr="00045E6B">
        <w:rPr>
          <w:bCs/>
          <w:lang w:val="en-ID"/>
        </w:rPr>
        <w:t xml:space="preserve">. In line with their study, the current research further demonstrates that knowledge-based competencies significantly enhance an individual's tendency to adopt sustainable consumption patterns </w:t>
      </w:r>
      <w:r w:rsidRPr="00045E6B">
        <w:rPr>
          <w:bCs/>
          <w:lang w:val="en-ID"/>
        </w:rPr>
        <w:fldChar w:fldCharType="begin" w:fldLock="1"/>
      </w:r>
      <w:r w:rsidRPr="00045E6B">
        <w:rPr>
          <w:bCs/>
          <w:lang w:val="en-ID"/>
        </w:rPr>
        <w:instrText>ADDIN CSL_CITATION {"citationItems":[{"id":"ITEM-1","itemData":{"DOI":"10.29408/jpek.v8i1.25274","ISSN":"2549-0893","abstract":"In Indonesia, investment is now commonplace, plus the increasingly rapid development of technology, makes it easier for people to invest. We cannot necessarily invest for the reason of keeping up with the times, if this is not taken into consideration when making investment decisions it could be detrimental, while the aim of investment is for profit. The aim of this research is so that the decisions we take in determining investment success on the Stock Exchange can be carried out optimally. The main data used in this research comes from interviews and data collection methods for 100 respondents using Accidental Sampling in the millennial population of the Bekasi area. The study methodology takes a quantitative tack. Using SmartPLS software, the Partial Least Square statistical test tool was used to evaluate the indicators for each variable. Based on the research findings, overconfident affects investment decisions, where the PValues of 0.372 are greater than 0.05 and the tStatistic of 0.894 is smaller than the tTable of 1.96, while risk tolerance has nothing to do with the decision because the PValue of 0.005 is smaller than 0.05, and the tStatistic value of 2.815 is greater than the tTable.","author":[{"dropping-particle":"","family":"Widiastuti","given":"","non-dropping-particle":"","parse-names":false,"suffix":""},{"dropping-particle":"","family":"Soleha","given":"Erin","non-dropping-particle":"","parse-names":false,"suffix":""},{"dropping-particle":"","family":"Zakiatul Hidayah","given":"Zulfa","non-dropping-particle":"","parse-names":false,"suffix":""},{"dropping-particle":"","family":"Meirani","given":"Nadia","non-dropping-particle":"","parse-names":false,"suffix":""}],"container-title":"Jurnal Pendidikan Ekonomi dan Kewirausahaan)","id":"ITEM-1","issue":"1","issued":{"date-parts":[["2024"]]},"page":"263","title":"Analisis Risk Tolerance dan Overconfidence terhadap Keputusan Investasi di Bursa Efek Indonesia","type":"article-journal","volume":"8"},"uris":["http://www.mendeley.com/documents/?uuid=67cac437-0de6-43ac-9c37-261f5fe883e4"]}],"mendeley":{"formattedCitation":"(Widiastuti et al., 2024)","plainTextFormattedCitation":"(Widiastuti et al., 2024)","previouslyFormattedCitation":"(Widiastuti et al., 2024)"},"properties":{"noteIndex":0},"schema":"https://github.com/citation-style-language/schema/raw/master/csl-citation.json"}</w:instrText>
      </w:r>
      <w:r w:rsidRPr="00045E6B">
        <w:rPr>
          <w:bCs/>
          <w:lang w:val="en-ID"/>
        </w:rPr>
        <w:fldChar w:fldCharType="separate"/>
      </w:r>
      <w:r w:rsidRPr="00045E6B">
        <w:rPr>
          <w:bCs/>
          <w:noProof/>
          <w:lang w:val="en-ID"/>
        </w:rPr>
        <w:t>(Widiastuti et al., 2024)</w:t>
      </w:r>
      <w:r w:rsidRPr="00045E6B">
        <w:rPr>
          <w:bCs/>
          <w:lang w:val="en-ID"/>
        </w:rPr>
        <w:fldChar w:fldCharType="end"/>
      </w:r>
      <w:r w:rsidRPr="00045E6B">
        <w:rPr>
          <w:bCs/>
          <w:lang w:val="en-ID"/>
        </w:rPr>
        <w:t xml:space="preserve">. By supporting the conclusions of these earlier scholars, this study strengthens the evidence base that links financial capability with ecological responsibility </w:t>
      </w:r>
      <w:r w:rsidRPr="00045E6B">
        <w:rPr>
          <w:bCs/>
          <w:lang w:val="en-ID"/>
        </w:rPr>
        <w:fldChar w:fldCharType="begin" w:fldLock="1"/>
      </w:r>
      <w:r w:rsidRPr="00045E6B">
        <w:rPr>
          <w:bCs/>
          <w:lang w:val="en-ID"/>
        </w:rPr>
        <w:instrText>ADDIN CSL_CITATION {"citationItems":[{"id":"ITEM-1","itemData":{"DOI":"10.1177/21582440211061333","ISSN":"21582440","abstract":"This study aims to reveal the predictors of individuals’ financial behavior associated with credit default for accurate and reliable credit risk assessment. Within the scope of credit use research, a systematic review of 108 studies was performed. Among the reviewed studies, a fair number have analyzed the determinants of default and delinquency. A remarkable number has examined the factors affecting outstanding and problematic debt levels, and some have investigated the financial behavior in terms of responsibility, debt repayment, and credit misuse. A wide range of socioeconomic, demographic, psychological, situational, and behavioral factors was explored, and their role in predicting the investigated outcome domain at various time-points was analyzed. The main analysis techniques and mix of predictors in papers also differed based on different time periods. While the synthesis of findings revealed some strong and consistent predictors for each outcome variable, mixed results were obtained for some factors. Additionally, a cluster of new practices that includes a wide range of alternative factors to improve prediction accuracies were uncovered. Study findings revealed a paradigm shift regarding the use of non-traditional data sources, especially big data, and novel techniques.","author":[{"dropping-particle":"","family":"Çallı","given":"Büşra Alma","non-dropping-particle":"","parse-names":false,"suffix":""},{"dropping-particle":"","family":"Coşkun","given":"Erman","non-dropping-particle":"","parse-names":false,"suffix":""}],"container-title":"SAGE Open","id":"ITEM-1","issue":"4","issued":{"date-parts":[["2021"]]},"title":"A Longitudinal Systematic Review of Credit Risk Assessment and Credit Default Predictors","type":"article-journal","volume":"11"},"uris":["http://www.mendeley.com/documents/?uuid=9954985f-0a73-42fa-9531-781aa456058c"]}],"mendeley":{"formattedCitation":"(Çallı &amp; Coşkun, 2021)","plainTextFormattedCitation":"(Çallı &amp; Coşkun, 2021)","previouslyFormattedCitation":"(Çallı &amp; Coşkun, 2021)"},"properties":{"noteIndex":0},"schema":"https://github.com/citation-style-language/schema/raw/master/csl-citation.json"}</w:instrText>
      </w:r>
      <w:r w:rsidRPr="00045E6B">
        <w:rPr>
          <w:bCs/>
          <w:lang w:val="en-ID"/>
        </w:rPr>
        <w:fldChar w:fldCharType="separate"/>
      </w:r>
      <w:r w:rsidRPr="00045E6B">
        <w:rPr>
          <w:bCs/>
          <w:noProof/>
          <w:lang w:val="en-ID"/>
        </w:rPr>
        <w:t>(Çallı &amp; Coşkun, 2021)</w:t>
      </w:r>
      <w:r w:rsidRPr="00045E6B">
        <w:rPr>
          <w:bCs/>
          <w:lang w:val="en-ID"/>
        </w:rPr>
        <w:fldChar w:fldCharType="end"/>
      </w:r>
      <w:r w:rsidRPr="00045E6B">
        <w:rPr>
          <w:bCs/>
          <w:lang w:val="en-ID"/>
        </w:rPr>
        <w:t>.</w:t>
      </w:r>
    </w:p>
    <w:p w14:paraId="03483348" w14:textId="77777777" w:rsidR="00045E6B" w:rsidRPr="00045E6B" w:rsidRDefault="00045E6B" w:rsidP="00045E6B">
      <w:pPr>
        <w:pStyle w:val="BodyText"/>
        <w:ind w:left="426" w:right="288" w:firstLine="567"/>
        <w:jc w:val="both"/>
        <w:rPr>
          <w:bCs/>
          <w:lang w:val="en-ID"/>
        </w:rPr>
      </w:pPr>
      <w:r w:rsidRPr="00045E6B">
        <w:rPr>
          <w:bCs/>
          <w:lang w:val="en-ID"/>
        </w:rPr>
        <w:t xml:space="preserve">In addition, the strong influence of digital finance identified in this study directly supports the arguments presented by </w:t>
      </w:r>
      <w:r w:rsidRPr="00045E6B">
        <w:rPr>
          <w:bCs/>
          <w:lang w:val="en-ID"/>
        </w:rPr>
        <w:fldChar w:fldCharType="begin" w:fldLock="1"/>
      </w:r>
      <w:r w:rsidRPr="00045E6B">
        <w:rPr>
          <w:bCs/>
          <w:lang w:val="en-ID"/>
        </w:rPr>
        <w:instrText>ADDIN CSL_CITATION {"citationItems":[{"id":"ITEM-1","itemData":{"DOI":"10.3390/jrfm17020082","ISSN":"19118074","abstract":"In the wake of inflation, investors engage in identifying inflation hedging instruments. Most importantly, investors attempt to minimize risk and maximize returns to safeguard against inflation. Risk plays an important role in this process. The objective of this research is to examine the relationship between risk factors and investor behavior, particularly in the Indian context. Based on the theory of planned behavior (TPB), we built a conceptual model investigating the intricate relationship between risk factors, investment priority, investment strategy and investment decision-making. We collected data from 537 respondents in the southern region of India and analyzed the data using Partial Least Squares Structural Equation Modeling (PLS-SEM). The result indicate: (i) risk factors (risk capacity, risk tolerance, and risk propensity) are positively related to investment priority and investment strategy, (ii) investment priority is positively related to investment decision-making, (iii) conscientiousness moderates the relationship between investment priority and investment decision-making, (iv) investment strategy is positively related to investment decision-making. Finally, the practical and theoretical implications for research are discussed.","author":[{"dropping-particle":"","family":"Lathief","given":"Jaheera Thasleema Abdul","non-dropping-particle":"","parse-names":false,"suffix":""},{"dropping-particle":"","family":"Kumaravel","given":"Sunitha Chelliah","non-dropping-particle":"","parse-names":false,"suffix":""},{"dropping-particle":"","family":"Velnadar","given":"Regina","non-dropping-particle":"","parse-names":false,"suffix":""},{"dropping-particle":"","family":"Vijayan","given":"Ravi Varma","non-dropping-particle":"","parse-names":false,"suffix":""},{"dropping-particle":"","family":"Parayitam","given":"Satyanarayana","non-dropping-particle":"","parse-names":false,"suffix":""}],"container-title":"Journal of Risk and Financial Management","id":"ITEM-1","issue":"2","issued":{"date-parts":[["2024","2","1"]]},"publisher":"Multidisciplinary Digital Publishing Institute (MDPI)","title":"Quantifying Risk in Investment Decision-Making","type":"article-journal","volume":"17"},"uris":["http://www.mendeley.com/documents/?uuid=15ffe67e-80cd-3627-beed-c43fc89c060a"]}],"mendeley":{"formattedCitation":"(Lathief et al., 2024)","manualFormatting":"Lathief et al., (2024)","plainTextFormattedCitation":"(Lathief et al., 2024)","previouslyFormattedCitation":"(Lathief et al., 2024)"},"properties":{"noteIndex":0},"schema":"https://github.com/citation-style-language/schema/raw/master/csl-citation.json"}</w:instrText>
      </w:r>
      <w:r w:rsidRPr="00045E6B">
        <w:rPr>
          <w:bCs/>
          <w:lang w:val="en-ID"/>
        </w:rPr>
        <w:fldChar w:fldCharType="separate"/>
      </w:r>
      <w:r w:rsidRPr="00045E6B">
        <w:rPr>
          <w:bCs/>
          <w:noProof/>
          <w:lang w:val="en-ID"/>
        </w:rPr>
        <w:t>Lathief et al., (2024)</w:t>
      </w:r>
      <w:r w:rsidRPr="00045E6B">
        <w:rPr>
          <w:bCs/>
          <w:lang w:val="en-ID"/>
        </w:rPr>
        <w:fldChar w:fldCharType="end"/>
      </w:r>
      <w:r w:rsidRPr="00045E6B">
        <w:rPr>
          <w:bCs/>
          <w:lang w:val="en-ID"/>
        </w:rPr>
        <w:t xml:space="preserve"> who highlighted the transformative role of fintech in improving financial efficiency, transparency, and decision-making </w:t>
      </w:r>
      <w:r w:rsidRPr="00045E6B">
        <w:rPr>
          <w:bCs/>
          <w:lang w:val="en-ID"/>
        </w:rPr>
        <w:fldChar w:fldCharType="begin" w:fldLock="1"/>
      </w:r>
      <w:r w:rsidRPr="00045E6B">
        <w:rPr>
          <w:bCs/>
          <w:lang w:val="en-ID"/>
        </w:rPr>
        <w:instrText>ADDIN CSL_CITATION {"citationItems":[{"id":"ITEM-1","itemData":{"DOI":"10.3390/jrfm17020065","ISSN":"19118074","abstract":"Financial decision making requires a sound handling of chance events. However, various studies have suggested that people are prone to illusion of control, i.e., the belief that prospects of a chancy event are better if they are involved in the randomisation process. This paper reports results from an experiment ((Formula presented.)) suggesting that psychological characteristics moderate risk-taking behaviour under such circumstances. For example, we find that subjects high in sensation seeking buy more tickets of a risky lottery if they determine the winning numbers themselves and the random event lies in the future. The findings suggest that “illusion of control” effects are at least partly driven by underlying (idiosyncratic) emotions/preferences rather than an actual belief in control. Regarding applications, the results emphasise the importance of individual characteristics for the behaviour of decision makers in a financial context.","author":[{"dropping-particle":"","family":"Schütze","given":"Tobias","non-dropping-particle":"","parse-names":false,"suffix":""},{"dropping-particle":"","family":"Schmidt","given":"Ulrich","non-dropping-particle":"","parse-names":false,"suffix":""},{"dropping-particle":"","family":"Spitzer","given":"Carsten","non-dropping-particle":"","parse-names":false,"suffix":""},{"dropping-particle":"","family":"Wichardt","given":"Philipp C.","non-dropping-particle":"","parse-names":false,"suffix":""}],"container-title":"Journal of Risk and Financial Management","id":"ITEM-1","issue":"2","issued":{"date-parts":[["2024","2","1"]]},"publisher":"Multidisciplinary Digital Publishing Institute (MDPI)","title":"Illusion of Control: Psychological Characteristics as Moderators in Financial Decision Making","type":"article-journal","volume":"17"},"uris":["http://www.mendeley.com/documents/?uuid=fc1fb965-4f95-3bd8-9008-62b95dd24026"]}],"mendeley":{"formattedCitation":"(Schütze et al., 2024)","plainTextFormattedCitation":"(Schütze et al., 2024)","previouslyFormattedCitation":"(Schütze et al., 2024)"},"properties":{"noteIndex":0},"schema":"https://github.com/citation-style-language/schema/raw/master/csl-citation.json"}</w:instrText>
      </w:r>
      <w:r w:rsidRPr="00045E6B">
        <w:rPr>
          <w:bCs/>
          <w:lang w:val="en-ID"/>
        </w:rPr>
        <w:fldChar w:fldCharType="separate"/>
      </w:r>
      <w:r w:rsidRPr="00045E6B">
        <w:rPr>
          <w:bCs/>
          <w:noProof/>
          <w:lang w:val="en-ID"/>
        </w:rPr>
        <w:t>(Schütze et al., 2024)</w:t>
      </w:r>
      <w:r w:rsidRPr="00045E6B">
        <w:rPr>
          <w:bCs/>
          <w:lang w:val="en-ID"/>
        </w:rPr>
        <w:fldChar w:fldCharType="end"/>
      </w:r>
      <w:r w:rsidRPr="00045E6B">
        <w:rPr>
          <w:bCs/>
          <w:lang w:val="en-ID"/>
        </w:rPr>
        <w:t xml:space="preserve">. While their study focused on the practical benefits of digitalization in personal finance, this research extends their work by showing that digital finance contributes not only to financial efficiency but also to heightened environmental awareness </w:t>
      </w:r>
      <w:r w:rsidRPr="00045E6B">
        <w:rPr>
          <w:bCs/>
          <w:lang w:val="en-ID"/>
        </w:rPr>
        <w:fldChar w:fldCharType="begin" w:fldLock="1"/>
      </w:r>
      <w:r w:rsidRPr="00045E6B">
        <w:rPr>
          <w:bCs/>
          <w:lang w:val="en-ID"/>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approach.","author":[{"dropping-particle":"","family":"Ummah","given":"Masfi Sya'fiatul","non-dropping-particle":"","parse-names":false,"suffix":""}],"container-title":"Sustainability (Switzerland)","id":"ITEM-1","issue":"1","issued":{"date-parts":[["2024"]]},"page":"1-14","title":"Greening Your Wallet: The Financial Impact of Eco-Friendly Choices","type":"article-journal","volume":"11"},"uris":["http://www.mendeley.com/documents/?uuid=329be9d9-011a-4e44-a042-4c37d08f3f9f"]}],"mendeley":{"formattedCitation":"(Ummah, 2024)","plainTextFormattedCitation":"(Ummah, 2024)","previouslyFormattedCitation":"(Ummah, 2024)"},"properties":{"noteIndex":0},"schema":"https://github.com/citation-style-language/schema/raw/master/csl-citation.json"}</w:instrText>
      </w:r>
      <w:r w:rsidRPr="00045E6B">
        <w:rPr>
          <w:bCs/>
          <w:lang w:val="en-ID"/>
        </w:rPr>
        <w:fldChar w:fldCharType="separate"/>
      </w:r>
      <w:r w:rsidRPr="00045E6B">
        <w:rPr>
          <w:bCs/>
          <w:noProof/>
          <w:lang w:val="en-ID"/>
        </w:rPr>
        <w:t>(Ummah, 2024)</w:t>
      </w:r>
      <w:r w:rsidRPr="00045E6B">
        <w:rPr>
          <w:bCs/>
          <w:lang w:val="en-ID"/>
        </w:rPr>
        <w:fldChar w:fldCharType="end"/>
      </w:r>
      <w:r w:rsidRPr="00045E6B">
        <w:rPr>
          <w:bCs/>
          <w:lang w:val="en-ID"/>
        </w:rPr>
        <w:t xml:space="preserve">. This implies that digital financial tools may indirectly foster more sustainable consumption choices, particularly among Generation Z, who are highly engaged with digital platforms </w:t>
      </w:r>
      <w:r w:rsidRPr="00045E6B">
        <w:rPr>
          <w:bCs/>
          <w:lang w:val="en-ID"/>
        </w:rPr>
        <w:fldChar w:fldCharType="begin" w:fldLock="1"/>
      </w:r>
      <w:r w:rsidRPr="00045E6B">
        <w:rPr>
          <w:bCs/>
          <w:lang w:val="en-ID"/>
        </w:rPr>
        <w:instrText>ADDIN CSL_CITATION {"citationItems":[{"id":"ITEM-1","itemData":{"author":[{"dropping-particle":"","family":"Widyaningsih","given":"Dewi","non-dropping-particle":"","parse-names":false,"suffix":""},{"dropping-particle":"","family":"Susilowati","given":"Heni","non-dropping-particle":"","parse-names":false,"suffix":""},{"dropping-particle":"","family":"Hargyatni","given":"Titin","non-dropping-particle":"","parse-names":false,"suffix":""}],"id":"ITEM-1","issue":"3","issued":{"date-parts":[["2024"]]},"page":"513-528","title":"Peran mediasi behavior finance berinvestasi Milenial dan Gen Z dalam preferensi","type":"article-journal","volume":"4"},"uris":["http://www.mendeley.com/documents/?uuid=1ce6af3d-3e25-44ad-a4e9-8d92426a70fb"]}],"mendeley":{"formattedCitation":"(Widyaningsih et al., 2024)","plainTextFormattedCitation":"(Widyaningsih et al., 2024)","previouslyFormattedCitation":"(Widyaningsih et al., 2024)"},"properties":{"noteIndex":0},"schema":"https://github.com/citation-style-language/schema/raw/master/csl-citation.json"}</w:instrText>
      </w:r>
      <w:r w:rsidRPr="00045E6B">
        <w:rPr>
          <w:bCs/>
          <w:lang w:val="en-ID"/>
        </w:rPr>
        <w:fldChar w:fldCharType="separate"/>
      </w:r>
      <w:r w:rsidRPr="00045E6B">
        <w:rPr>
          <w:bCs/>
          <w:noProof/>
          <w:lang w:val="en-ID"/>
        </w:rPr>
        <w:t>(Widyaningsih et al., 2024)</w:t>
      </w:r>
      <w:r w:rsidRPr="00045E6B">
        <w:rPr>
          <w:bCs/>
          <w:lang w:val="en-ID"/>
        </w:rPr>
        <w:fldChar w:fldCharType="end"/>
      </w:r>
      <w:r w:rsidRPr="00045E6B">
        <w:rPr>
          <w:bCs/>
          <w:lang w:val="en-ID"/>
        </w:rPr>
        <w:t>.</w:t>
      </w:r>
    </w:p>
    <w:p w14:paraId="03E40DED" w14:textId="77777777" w:rsidR="00045E6B" w:rsidRPr="00045E6B" w:rsidRDefault="00045E6B" w:rsidP="00045E6B">
      <w:pPr>
        <w:pStyle w:val="BodyText"/>
        <w:ind w:left="426" w:right="288" w:firstLine="567"/>
        <w:jc w:val="both"/>
        <w:rPr>
          <w:bCs/>
          <w:lang w:val="en-ID"/>
        </w:rPr>
      </w:pPr>
      <w:r w:rsidRPr="00045E6B">
        <w:rPr>
          <w:bCs/>
          <w:lang w:val="en-ID"/>
        </w:rPr>
        <w:t xml:space="preserve">Moreover, the results of this study also reinforce </w:t>
      </w:r>
      <w:r w:rsidRPr="00045E6B">
        <w:rPr>
          <w:bCs/>
          <w:lang w:val="en-ID"/>
        </w:rPr>
        <w:fldChar w:fldCharType="begin" w:fldLock="1"/>
      </w:r>
      <w:r w:rsidRPr="00045E6B">
        <w:rPr>
          <w:bCs/>
          <w:lang w:val="en-ID"/>
        </w:rPr>
        <w:instrText>ADDIN CSL_CITATION {"citationItems":[{"id":"ITEM-1","itemData":{"ISSN":"1911-8074","abstract":"&lt;p&gt;This study explores the relationship between social media usage for investment advice and financial satisfaction across different generations. Ten ordered logit models were estimated using Stata to explore this relationship. Ordered logit analyses using data from the 2021 National Financial Capability Study State-by-State and Investor survey reveal that Generation X and millennials are less financially satisfied than baby boomers. While general social media use shows no statistically significant association, platform-specific analysis finds that Instagram and TikTok users report higher financial satisfaction, whereas YouTube users report lower satisfaction. Notably, millennials who use social media for investment advice are more financially satisfied than their peers. Detailed analyses reveal that Instagram, TikTok, and Twitter positively influence financial satisfaction across Gen Z, millennials, and Gen X, with more platform-specific associations observed for Facebook, LinkedIn, and Reddit among millennials and Gen X, respectively. These findings provide valuable insights for policymakers, financial professionals, and researchers, highlighting the need for targeted strategies to enhance financial well-being through social media.&lt;/p&gt;","author":[{"dropping-particle":"","family":"Olajide","given":"Olamide","non-dropping-particle":"","parse-names":false,"suffix":""},{"dropping-particle":"","family":"Pandey","given":"Sabina","non-dropping-particle":"","parse-names":false,"suffix":""},{"dropping-particle":"","family":"Pandey","given":"Ichchha","non-dropping-particle":"","parse-names":false,"suffix":""}],"container-title":"Journal of Risk and Financial Management","id":"ITEM-1","issue":"9","issued":{"date-parts":[["2024"]]},"page":"410","title":"Social Media for Investment Advice and Financial Satisfaction: Does Generation Matter?","type":"article-journal","volume":"17"},"uris":["http://www.mendeley.com/documents/?uuid=1b1f0b11-1036-46d7-8953-dc8a93b068d5"]},{"id":"ITEM-2","itemData":{"ISSN":"2986-5336","abstract":"This research aims to analyze the influence of loss aversion and herd behavior on stock investment decisions through fear of missing out (FOMO) with the object of young generation investors who are a maximum of 30 years old and domiciled in DKI Jakarta who have carried out stock buying and selling transactions in the last year. Hypothesis testing in this research uses the PLS method or Partial Least Square with software SmartPLS 3.0. The data collection technique uses a questionnaire using the media googleform to collect data from respondents. The results of this research Herding and Loss Aversion does not have a significant effect on investment decisions. Shares of the younger generation of DKI Jakarta are different from the variables Fear of Missing Out which has a significant influence on the stock investment decisions of the younger generation of DKI Jakarta. Herding and Loss Aversion significant effect on Fear of Missing Out young generation of DKI Jakarta. For mediating variables, results can be drawn, namely for Herd Behavior has a significant influence on the Stock Investment Decisions of the younger generation of DKI Jakarta through Fear of Missing Out whereas for. Loss Aversion No has a significant influence on the Stock Investment Decisions of the younger generation of DKI Jakarta through Fear of Missing Out.","author":[{"dropping-particle":"","family":"Jowey","given":"Gita Fitri M","non-dropping-particle":"","parse-names":false,"suffix":""},{"dropping-particle":"","family":"Ferli","given":"Ossi","non-dropping-particle":"","parse-names":false,"suffix":""},{"dropping-particle":"","family":"Wijaya","given":"Erric","non-dropping-particle":"","parse-names":false,"suffix":""},{"dropping-particle":"","family":"Haryanti","given":"Enny","non-dropping-particle":"","parse-names":false,"suffix":""}],"container-title":"Greenation International Journal of Economics and Accounting","id":"ITEM-2","issue":"2","issued":{"date-parts":[["2024"]]},"page":"189-201","title":"Influence herding and loss aversion to stock investment decisions with fear of missing out (FoMO) as a mediating variable in the young generation in jakarta","type":"article-journal","volume":"2"},"uris":["http://www.mendeley.com/documents/?uuid=a437f8a6-7e1b-4786-b3bb-c0ec7723e115"]}],"mendeley":{"formattedCitation":"(Jowey et al., 2024; Olajide et al., 2024)","plainTextFormattedCitation":"(Jowey et al., 2024; Olajide et al., 2024)","previouslyFormattedCitation":"(Jowey et al., 2024; Olajide et al., 2024)"},"properties":{"noteIndex":0},"schema":"https://github.com/citation-style-language/schema/raw/master/csl-citation.json"}</w:instrText>
      </w:r>
      <w:r w:rsidRPr="00045E6B">
        <w:rPr>
          <w:bCs/>
          <w:lang w:val="en-ID"/>
        </w:rPr>
        <w:fldChar w:fldCharType="separate"/>
      </w:r>
      <w:r w:rsidRPr="00045E6B">
        <w:rPr>
          <w:bCs/>
          <w:noProof/>
          <w:lang w:val="en-ID"/>
        </w:rPr>
        <w:t>(Jowey et al., 2024; Olajide et al., 2024)</w:t>
      </w:r>
      <w:r w:rsidRPr="00045E6B">
        <w:rPr>
          <w:bCs/>
          <w:lang w:val="en-ID"/>
        </w:rPr>
        <w:fldChar w:fldCharType="end"/>
      </w:r>
      <w:r w:rsidRPr="00045E6B">
        <w:rPr>
          <w:bCs/>
          <w:lang w:val="en-ID"/>
        </w:rPr>
        <w:t xml:space="preserve">, who found that Generation Z exhibits a strong preference for sustainable consumption models. Echoing their findings, this study confirms that sustainability oriented </w:t>
      </w:r>
      <w:proofErr w:type="spellStart"/>
      <w:r w:rsidRPr="00045E6B">
        <w:rPr>
          <w:bCs/>
          <w:lang w:val="en-ID"/>
        </w:rPr>
        <w:t>behaviors</w:t>
      </w:r>
      <w:proofErr w:type="spellEnd"/>
      <w:r w:rsidRPr="00045E6B">
        <w:rPr>
          <w:bCs/>
          <w:lang w:val="en-ID"/>
        </w:rPr>
        <w:t xml:space="preserve"> are indeed prominent among younger consumers </w:t>
      </w:r>
      <w:r w:rsidRPr="00045E6B">
        <w:rPr>
          <w:bCs/>
          <w:lang w:val="en-ID"/>
        </w:rPr>
        <w:fldChar w:fldCharType="begin" w:fldLock="1"/>
      </w:r>
      <w:r w:rsidRPr="00045E6B">
        <w:rPr>
          <w:bCs/>
          <w:lang w:val="en-ID"/>
        </w:rPr>
        <w:instrText>ADDIN CSL_CITATION {"citationItems":[{"id":"ITEM-1","itemData":{"DOI":"10.3389/fpsyg.2022.935284","ISSN":"16641078","abstract":"Several definitions and measures of financial well-being (FWB) have been proposed in the scientific literature. The Multidimensional Subjective Financial Well-being Scale (MSFWBS) stands out among these measures in its ability to account for the conceptual richness of FWB. However, the original validation study based on a confirmatory factor analytic model indicated that the factor structure of scores obtained on this instrument was acceptable at best, revealing factor correlations high enough to question the discriminant validity of the factors. To improve conceptual and operational clarity of FWB, this study assesses the psychometric properties of the MSFWBS among French-Canadian adults (n = 454), using statistical models better suited to the examination of multidimensional constructs (exploratory structural equation modeling—ESEM, and bifactor-ESEM). Our results supported a bifactor-ESEM representation of scores on the MSFWBS, and their measurement invariance across groups of participants defined on the basis of their age, sex, personal income and household income. Our results also supported the convergent (with other measures of FWB) and criterion-related (with measures of life satisfaction, perceived stress, and psychological distress) validity of scores obtained on the MSFWBS (particularly the global FWB factor). By providing an optimized measure of FWB, our study contributes to advancing research on FWB.","author":[{"dropping-particle":"","family":"Aubrey","given":"Marc","non-dropping-particle":"","parse-names":false,"suffix":""},{"dropping-particle":"","family":"Morin","given":"Alexandre J.S.","non-dropping-particle":"","parse-names":false,"suffix":""},{"dropping-particle":"","family":"Fernet","given":"Claude","non-dropping-particle":"","parse-names":false,"suffix":""},{"dropping-particle":"","family":"Carbonneau","given":"Noémie","non-dropping-particle":"","parse-names":false,"suffix":""}],"container-title":"Frontiers in Psychology","id":"ITEM-1","issue":"August","issued":{"date-parts":[["2022"]]},"title":"Financial well-being: Capturing an elusive construct with an optimized measure","type":"article-journal","volume":"13"},"uris":["http://www.mendeley.com/documents/?uuid=e70bfc16-7054-42a7-92f5-998f7dd194f8"]},{"id":"ITEM-2","itemData":{"DOI":"10.1007/s10834-023-09886-z","ISSN":"15733475","abstract":"Financial well-being is becoming more prominent in policy, research, and the financial sector. However, there is a lack of understanding of its meaning, and the vast majority of financial well-being research employs quantitative methods whereas recent literature reviews advocate for qualitative studies into the meaning of financial well-being and its associations with age. We contribute to that by conducting exploratory qualitative research into the phenomenon of perceived financial well-being and its components. It is based on three studies each of which used in-depth semi-structured interviews (N = 47). The first key finding is that youth perceive financial well-being to be comprised of three components: keeping the current lifestyle and making ends meet; achieving desired lifestyle; and achieving financial freedom. In contrast, older groups distinguish only two: keeping and achieving the lifestyle in the present and in the future. The second finding is that the definition of financial freedom differs across age groups. Young people aspire to become financially independent, while middle-aged individuals prioritize supporting their children, and older people are afraid of becoming a financial burden. Third, regardless of age, many do not plan, save or invest for securing their financial well-being. We conclude by proposing implications for increasing financial well-being in different age groups, and suggesting paths for further investigation.","author":[{"dropping-particle":"","family":"Riitsalu","given":"Leonore","non-dropping-particle":"","parse-names":false,"suffix":""},{"dropping-particle":"","family":"Sulg","given":"Rene","non-dropping-particle":"","parse-names":false,"suffix":""},{"dropping-particle":"","family":"Lindal","given":"Henri","non-dropping-particle":"","parse-names":false,"suffix":""},{"dropping-particle":"","family":"Remmik","given":"Marvi","non-dropping-particle":"","parse-names":false,"suffix":""},{"dropping-particle":"","family":"Vain","given":"Kristiina","non-dropping-particle":"","parse-names":false,"suffix":""}],"container-title":"Journal of Family and Economic Issues","id":"ITEM-2","issue":"1","issued":{"date-parts":[["2024"]]},"page":"56-69","title":"From Security to Freedom— The Meaning of Financial Well-being Changes with Age","type":"article-journal","volume":"45"},"uris":["http://www.mendeley.com/documents/?uuid=aa59ff1a-e4bc-49d4-ae22-98b31267850f"]}],"mendeley":{"formattedCitation":"(Aubrey et al., 2022; Riitsalu et al., 2024)","plainTextFormattedCitation":"(Aubrey et al., 2022; Riitsalu et al., 2024)","previouslyFormattedCitation":"(Aubrey et al., 2022; Riitsalu et al., 2024)"},"properties":{"noteIndex":0},"schema":"https://github.com/citation-style-language/schema/raw/master/csl-citation.json"}</w:instrText>
      </w:r>
      <w:r w:rsidRPr="00045E6B">
        <w:rPr>
          <w:bCs/>
          <w:lang w:val="en-ID"/>
        </w:rPr>
        <w:fldChar w:fldCharType="separate"/>
      </w:r>
      <w:r w:rsidRPr="00045E6B">
        <w:rPr>
          <w:bCs/>
          <w:noProof/>
          <w:lang w:val="en-ID"/>
        </w:rPr>
        <w:t>(Aubrey et al., 2022; Riitsalu et al., 2024)</w:t>
      </w:r>
      <w:r w:rsidRPr="00045E6B">
        <w:rPr>
          <w:bCs/>
          <w:lang w:val="en-ID"/>
        </w:rPr>
        <w:fldChar w:fldCharType="end"/>
      </w:r>
      <w:r w:rsidRPr="00045E6B">
        <w:rPr>
          <w:bCs/>
          <w:lang w:val="en-ID"/>
        </w:rPr>
        <w:t xml:space="preserve">. However, this research advances the discussion by adding a new dimension the integration of personal financial management as a major predictor of sustainable consumption </w:t>
      </w:r>
      <w:proofErr w:type="spellStart"/>
      <w:r w:rsidRPr="00045E6B">
        <w:rPr>
          <w:bCs/>
          <w:lang w:val="en-ID"/>
        </w:rPr>
        <w:t>behavior</w:t>
      </w:r>
      <w:proofErr w:type="spellEnd"/>
      <w:r w:rsidRPr="00045E6B">
        <w:rPr>
          <w:bCs/>
          <w:lang w:val="en-ID"/>
        </w:rPr>
        <w:t xml:space="preserve">. This is an important contribution because previous studies, including </w:t>
      </w:r>
      <w:r w:rsidRPr="00045E6B">
        <w:rPr>
          <w:bCs/>
          <w:lang w:val="en-ID"/>
        </w:rPr>
        <w:fldChar w:fldCharType="begin" w:fldLock="1"/>
      </w:r>
      <w:r w:rsidRPr="00045E6B">
        <w:rPr>
          <w:bCs/>
          <w:lang w:val="en-ID"/>
        </w:rPr>
        <w:instrText>ADDIN CSL_CITATION {"citationItems":[{"id":"ITEM-1","itemData":{"DOI":"10.1108/DPRG-07-2023-0110","ISSN":"23985038","abstract":"Purpose: This study aims to evaluate the users’ behavioral intention toward the acceptance and adoption of digital payment FinTech services in India. The study also compares the differences in Gen Y and Gen Z’s intention to adopt digital payment FinTech services. Design/methodology/approach: The present study adopted both the unified theory of acceptance and use of technology (UTAUT) and the technology acceptance model (TAM) as its theoretical base and also added financial literacy and customer satisfaction. The data was analyzed by applying structural equation modeling using SmartPLS 4. Findings: The outcomes of the study imply that customer satisfaction, effort expectancy and performance expectancy had a significant effect on behavioral intention. Moreover, effort expectancy, performance expectancy and perceived enjoyment had a significant influence on customer satisfaction, and effort expectancy and performance expectancy is significantly influenced by perceived enjoyment, while self-efficacy significantly influenced perceived enjoyment. Also, financial literacy does not moderate the relationship between effort expectancy, performance expectancy, facilitating condition and behavioral intention. Furthermore, the association of effort expectancy → customer satisfaction; perceived enjoyment → customer satisfaction; and perceived enjoyment → effort expectancy is moderated by age factor. Originality/value: This study contributes by developing a more cohesive and unified model for assessing users’ behavioral intention toward acceptance and adoption of FinTech services by adopting constructs from the UTUAT and TAM and incorporating financial literacy and customer satisfaction to expand and enhance the theoretical prospect of the existing literature.","author":[{"dropping-particle":"","family":"Srivastava","given":"Shanu","non-dropping-particle":"","parse-names":false,"suffix":""},{"dropping-particle":"","family":"Mohta","given":"Anu","non-dropping-particle":"","parse-names":false,"suffix":""},{"dropping-particle":"","family":"Shunmugasundaram","given":"V.","non-dropping-particle":"","parse-names":false,"suffix":""}],"container-title":"Digital Policy, Regulation and Governance ","id":"ITEM-1","issue":"1","issued":{"date-parts":[["2024"]]},"page":"95-117","title":"Adoption of digital payment FinTech service by Gen Y and Gen Z users: evidence from India","type":"article-journal","volume":"26"},"uris":["http://www.mendeley.com/documents/?uuid=8e940993-0b4e-4572-9749-7f6bca4ed2fe"]},{"id":"ITEM-2","itemData":{"author":[{"dropping-particle":"","family":"Hidayat","given":"Chusnul Maulidina","non-dropping-particle":"","parse-names":false,"suffix":""},{"dropping-particle":"","family":"Muntahanah","given":"Siti","non-dropping-particle":"","parse-names":false,"suffix":""}],"container-title":"Journal of Management Science (JMAS)","id":"ITEM-2","issue":"1","issued":{"date-parts":[["2024"]]},"page":"8-14","title":"The investment decision on generation Z in Capital Market","type":"article-journal","volume":"7"},"uris":["http://www.mendeley.com/documents/?uuid=0b6619f7-eaa0-43d7-bd6a-9a9a6a726558"]},{"id":"ITEM-3","itemData":{"DOI":"10.31539/jomb.v5i2.6271","ISSN":"2656-8918","abstract":"This study aims to analyze the effect of financial literacy, risk tolerance and overconfidence on investment decisions for workers in the Cikarang Industrial Area. The research method used is quantitative method with a total sample of 100 respondents which is determined by using non-probability sampling technique. The results of this study show that the t-statistic value for the financial literacy variable is 3.089 &gt; 1.96 and the p-value is 0.002 &lt;0.05. Overconfidence has a t-statistic value of 4.339 &gt; 1.96 and a p-value of 0.000 &lt;0.05 and the risk tolerance variable has a t-statistic value of 0.081 &lt;1.96 and a p-value of 0.935 &gt; 0.05. In conclusion, financial literacy and overconfidence have a significant positive effect on workers' investment decisions in the Cikarang Industrial Area. Meanwhile, risk tolerance has no effect on workers' investment decisions in the Cikarang Industrial Area. The most dominant variable affecting investment decisions is overconfidence so that the higher the level of self-confidence a person will make the decision to invest will increase.\r  Keywords: Overconfidence, Investment Decision, Literacy, Risk Tolerance","author":[{"dropping-particle":"","family":"Listiani","given":"Efi","non-dropping-particle":"","parse-names":false,"suffix":""},{"dropping-particle":"","family":"Soleha","given":"Erin","non-dropping-particle":"","parse-names":false,"suffix":""}],"container-title":"Journal of Management and Bussines (JOMB)","id":"ITEM-3","issue":"2","issued":{"date-parts":[["2023"]]},"page":"983-993","title":"Literasi Keuangan, Risk Tolerance dan Overconfidence Terhadap Keputusan Investasi pada Pekerja di Kawasan Industri Cikarang","type":"article-journal","volume":"5"},"uris":["http://www.mendeley.com/documents/?uuid=3ee84211-fdf1-4969-82e8-78f510e7a681"]}],"mendeley":{"formattedCitation":"(Hidayat &amp; Muntahanah, 2024; Listiani &amp; Soleha, 2023; Srivastava et al., 2024)","plainTextFormattedCitation":"(Hidayat &amp; Muntahanah, 2024; Listiani &amp; Soleha, 2023; Srivastava et al., 2024)","previouslyFormattedCitation":"(Hidayat &amp; Muntahanah, 2024; Listiani &amp; Soleha, 2023; Srivastava et al., 2024)"},"properties":{"noteIndex":0},"schema":"https://github.com/citation-style-language/schema/raw/master/csl-citation.json"}</w:instrText>
      </w:r>
      <w:r w:rsidRPr="00045E6B">
        <w:rPr>
          <w:bCs/>
          <w:lang w:val="en-ID"/>
        </w:rPr>
        <w:fldChar w:fldCharType="separate"/>
      </w:r>
      <w:r w:rsidRPr="00045E6B">
        <w:rPr>
          <w:bCs/>
          <w:noProof/>
          <w:lang w:val="en-ID"/>
        </w:rPr>
        <w:t>(Hidayat &amp; Muntahanah, 2024; Listiani &amp; Soleha, 2023; Srivastava et al., 2024)</w:t>
      </w:r>
      <w:r w:rsidRPr="00045E6B">
        <w:rPr>
          <w:bCs/>
          <w:lang w:val="en-ID"/>
        </w:rPr>
        <w:fldChar w:fldCharType="end"/>
      </w:r>
      <w:r w:rsidRPr="00045E6B">
        <w:rPr>
          <w:bCs/>
          <w:lang w:val="en-ID"/>
        </w:rPr>
        <w:t>, did not extensively explore how financial management skills interact with sustainability preferences.</w:t>
      </w:r>
    </w:p>
    <w:p w14:paraId="5EF6FC7D" w14:textId="77777777" w:rsidR="00045E6B" w:rsidRPr="00045E6B" w:rsidRDefault="00045E6B" w:rsidP="00045E6B">
      <w:pPr>
        <w:pStyle w:val="BodyText"/>
        <w:ind w:left="426" w:right="288" w:firstLine="567"/>
        <w:jc w:val="both"/>
        <w:rPr>
          <w:bCs/>
          <w:lang w:val="en-ID"/>
        </w:rPr>
      </w:pPr>
      <w:r w:rsidRPr="00045E6B">
        <w:rPr>
          <w:bCs/>
          <w:lang w:val="en-ID"/>
        </w:rPr>
        <w:t xml:space="preserve">By combining financial literacy, digital finance, and personal financial management into a single analytical framework, the present study fills a gap in the existing literature </w:t>
      </w:r>
      <w:r w:rsidRPr="00045E6B">
        <w:rPr>
          <w:bCs/>
          <w:lang w:val="en-ID"/>
        </w:rPr>
        <w:fldChar w:fldCharType="begin" w:fldLock="1"/>
      </w:r>
      <w:r w:rsidRPr="00045E6B">
        <w:rPr>
          <w:bCs/>
          <w:lang w:val="en-ID"/>
        </w:rPr>
        <w:instrText>ADDIN CSL_CITATION {"citationItems":[{"id":"ITEM-1","itemData":{"abstract":"Amidst the development of financial technology, awareness of financial literacy and prudent financial management is becoming increasingly important. This study aims to provide deeper insights into how financial literacy and adaptation to the cashless society affect financial behavior and ultimately financial satisfaction in Gen Z. With a better understanding of the interplay between these factors, more effective strategies can be formulated to improve the financial well-being and financial satisfaction of this generation in the ever-evolving digital era. This study uses quantitative methods with a causality approach and data collection using questionnaires distributed to Primagraha University students. The sample in this study amounted to 210 students at Primagraha University using a proportional stratified random sampling technique. The results of this study indicate that of the seven hypotheses, there is one hypothesis that has no positive and significant effect, while the other six hypotheses show positive and significant results.","author":[{"dropping-particle":"","family":"Vania","given":"Vivin","non-dropping-particle":"","parse-names":false,"suffix":""},{"dropping-particle":"","family":"Wahyudi","given":"Wahyudi","non-dropping-particle":"","parse-names":false,"suffix":""},{"dropping-particle":"","family":"Kurniasih","given":"Dedeh","non-dropping-particle":"","parse-names":false,"suffix":""}],"container-title":"International Journal of Economics Development Research","id":"ITEM-1","issue":"1","issued":{"date-parts":[["2024"]]},"page":"2024-475","title":"Analysis of Financial Literacy and Cashless Society on Financial Satisfaction through Financial Behavior in Gen Z","type":"article-journal","volume":"5"},"uris":["http://www.mendeley.com/documents/?uuid=2f05ae82-cbed-43ca-8d3e-6ac947d8884a"]},{"id":"ITEM-2","itemData":{"author":[{"dropping-particle":"","family":"Akibun","given":"Fitria","non-dropping-particle":"","parse-names":false,"suffix":""},{"dropping-particle":"","family":"Prayitno","given":"Henro","non-dropping-particle":"","parse-names":false,"suffix":""},{"dropping-particle":"","family":"Z","given":"Ria Anggita","non-dropping-particle":"","parse-names":false,"suffix":""},{"dropping-particle":"","family":"Otto","given":"Nur Mutmaina","non-dropping-particle":"","parse-names":false,"suffix":""}],"id":"ITEM-2","issue":"2","issued":{"date-parts":[["2025"]]},"page":"1-8","title":"Financial Literacy In Gen Z Generation ( Case Study at Bina Taruna University Gorontalo )","type":"article-journal"},"uris":["http://www.mendeley.com/documents/?uuid=11489480-4fdc-4ad4-9040-2807031487e8"]},{"id":"ITEM-3","itemData":{"author":[{"dropping-particle":"","family":"Pokharel","given":"Jhabindra","non-dropping-particle":"","parse-names":false,"suffix":""},{"dropping-particle":"","family":"Maharjan","given":"Isha","non-dropping-particle":"","parse-names":false,"suffix":""}],"id":"ITEM-3","issue":"1","issued":{"date-parts":[["2024"]]},"page":"148-170","title":"Green human resource management for Financial Behavior of Generation Z and Millennials organizational sustainability : lessons from insurance companies in emerging market","type":"article-journal","volume":"1"},"uris":["http://www.mendeley.com/documents/?uuid=ca5646f4-7f05-47dd-b355-27a4de694419"]}],"mendeley":{"formattedCitation":"(Akibun et al., 2025; Pokharel &amp; Maharjan, 2024; Vania et al., 2024)","plainTextFormattedCitation":"(Akibun et al., 2025; Pokharel &amp; Maharjan, 2024; Vania et al., 2024)","previouslyFormattedCitation":"(Akibun et al., 2025; Pokharel &amp; Maharjan, 2024; Vania et al., 2024)"},"properties":{"noteIndex":0},"schema":"https://github.com/citation-style-language/schema/raw/master/csl-citation.json"}</w:instrText>
      </w:r>
      <w:r w:rsidRPr="00045E6B">
        <w:rPr>
          <w:bCs/>
          <w:lang w:val="en-ID"/>
        </w:rPr>
        <w:fldChar w:fldCharType="separate"/>
      </w:r>
      <w:r w:rsidRPr="00045E6B">
        <w:rPr>
          <w:bCs/>
          <w:noProof/>
          <w:lang w:val="en-ID"/>
        </w:rPr>
        <w:t>(Akibun et al., 2025; Pokharel &amp; Maharjan, 2024; Vania et al., 2024)</w:t>
      </w:r>
      <w:r w:rsidRPr="00045E6B">
        <w:rPr>
          <w:bCs/>
          <w:lang w:val="en-ID"/>
        </w:rPr>
        <w:fldChar w:fldCharType="end"/>
      </w:r>
      <w:r w:rsidRPr="00045E6B">
        <w:rPr>
          <w:bCs/>
          <w:lang w:val="en-ID"/>
        </w:rPr>
        <w:t xml:space="preserve">. Prior research often examined these factors separately, leaving limited insight into how they jointly influence sustainable consumption </w:t>
      </w:r>
      <w:r w:rsidRPr="00045E6B">
        <w:rPr>
          <w:bCs/>
          <w:lang w:val="en-ID"/>
        </w:rPr>
        <w:fldChar w:fldCharType="begin" w:fldLock="1"/>
      </w:r>
      <w:r w:rsidRPr="00045E6B">
        <w:rPr>
          <w:bCs/>
          <w:lang w:val="en-ID"/>
        </w:rPr>
        <w:instrText>ADDIN CSL_CITATION {"citationItems":[{"id":"ITEM-1","itemData":{"DOI":"10.1016/j.crsust.2021.100109","ISSN":"26660490","abstract":"Despite policy thrusts and initiatives, driving consumer behaviour towards sustainable consumption is a challenging task. The paper in this context carries out a detailed analysis of consumer behaviour in the Indian context with a specific thrust on sustainable consumer behaviour. The paper builds on the theoretical conception of the ‘Value Belief Norm (VBN)’ framework developed by Stern et al. (1999) and adapts and expands the same in the Indian context by employing exploratory factor analysis. Based on consumption behaviour patterns, the study classifies Indian millennials into five different categories such as aware consumers, conscious consumers, consumers under transition, unwilling consumers, and rejecters respectively, which help to map the heterogeneities present among the Indian millennials in terms of their consumer behaviour. In addition, it emerges from the study that Indian millennials are more concerned about the environmental dimension of consumption than social and economic dimensions, which has clear policy implications in terms of creating awareness and sensitising people.","author":[{"dropping-particle":"","family":"Francis","given":"Allen","non-dropping-particle":"","parse-names":false,"suffix":""},{"dropping-particle":"","family":"Sarangi","given":"Gopal K.","non-dropping-particle":"","parse-names":false,"suffix":""}],"container-title":"Current Research in Environmental Sustainability","id":"ITEM-1","issue":"November 2021","issued":{"date-parts":[["2022"]]},"page":"100109","publisher":"Elsevier B.V.","title":"Sustainable consumer behaviour of Indian millennials: Some evidence","type":"article-journal","volume":"4"},"uris":["http://www.mendeley.com/documents/?uuid=96e0fcac-8db4-47b7-862f-150080f91efa"]},{"id":"ITEM-2","itemData":{"ISBN":"9788578110796","ISSN":"20711050","PMID":"25246403","abstract":"Predicting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approach.","author":[{"dropping-particle":"","family":"Ummah","given":"Masfi Sya'fiatul","non-dropping-particle":"","parse-names":false,"suffix":""}],"container-title":"Sustainability (Switzerland)","id":"ITEM-2","issue":"1","issued":{"date-parts":[["2024"]]},"page":"1-14","title":"Greening Your Wallet: The Financial Impact of Eco-Friendly Choices","type":"article-journal","volume":"11"},"uris":["http://www.mendeley.com/documents/?uuid=329be9d9-011a-4e44-a042-4c37d08f3f9f"]}],"mendeley":{"formattedCitation":"(Francis &amp; Sarangi, 2022; Ummah, 2024)","plainTextFormattedCitation":"(Francis &amp; Sarangi, 2022; Ummah, 2024)","previouslyFormattedCitation":"(Francis &amp; Sarangi, 2022; Ummah, 2024)"},"properties":{"noteIndex":0},"schema":"https://github.com/citation-style-language/schema/raw/master/csl-citation.json"}</w:instrText>
      </w:r>
      <w:r w:rsidRPr="00045E6B">
        <w:rPr>
          <w:bCs/>
          <w:lang w:val="en-ID"/>
        </w:rPr>
        <w:fldChar w:fldCharType="separate"/>
      </w:r>
      <w:r w:rsidRPr="00045E6B">
        <w:rPr>
          <w:bCs/>
          <w:noProof/>
          <w:lang w:val="en-ID"/>
        </w:rPr>
        <w:t>(Francis &amp; Sarangi, 2022; Ummah, 2024)</w:t>
      </w:r>
      <w:r w:rsidRPr="00045E6B">
        <w:rPr>
          <w:bCs/>
          <w:lang w:val="en-ID"/>
        </w:rPr>
        <w:fldChar w:fldCharType="end"/>
      </w:r>
      <w:r w:rsidRPr="00045E6B">
        <w:rPr>
          <w:bCs/>
          <w:lang w:val="en-ID"/>
        </w:rPr>
        <w:t xml:space="preserve">. Therefore, this study not only confirms earlier findings but also expands the theoretical understanding by </w:t>
      </w:r>
      <w:r w:rsidRPr="00045E6B">
        <w:rPr>
          <w:bCs/>
          <w:lang w:val="en-ID"/>
        </w:rPr>
        <w:lastRenderedPageBreak/>
        <w:t xml:space="preserve">demonstrating that these three variables collectively shape sustainable consumption decisions among Generation Z </w:t>
      </w:r>
      <w:r w:rsidRPr="00045E6B">
        <w:rPr>
          <w:bCs/>
          <w:lang w:val="en-ID"/>
        </w:rPr>
        <w:fldChar w:fldCharType="begin" w:fldLock="1"/>
      </w:r>
      <w:r w:rsidRPr="00045E6B">
        <w:rPr>
          <w:bCs/>
          <w:lang w:val="en-ID"/>
        </w:rPr>
        <w:instrText>ADDIN CSL_CITATION {"citationItems":[{"id":"ITEM-1","itemData":{"DOI":"10.3390/su14073999","ISSN":"20711050","abstract":"There is a causal relationship between existential dangers to our biosphere and our unsustainable consumption practices. For more than three decades, academics and researchers have explored ideas to make consumption practices sustainable. Still, a practical and widely accepted solution to the problem is missing. This review aims for a theoretical and structural understanding of the literature to identify future avenues for marketing, to explore and increase its contribution to consumption sustainability research. The review used bibliometric and integrative review methods to synthesize knowledge. The review found that sustainable consumption research has proliferated since 2015, indicating a heightened interest in the field. There are four major schools of thought in sustainable consumption research, employing three interdependent micro, meso, and macro levels of analysis to understand consumption practices. By focusing on individual consumption behaviors, this review recommends that consumption sustainability be repositioned as a means of attaining a better quality of life for consumers. It involves reforming the consumer mindset toward progress based on pro-social and pro-ecological choices, training consumers in mindful consumption practices, and providing them with an infrastructure for consuming with a mindful mindset. It is recommended that marketing should refine itself as a pro-social discipline, with consumer well-being as its primary goal, and to become a leader in reshaping quality of life in terms of non-financial standards.","author":[{"dropping-particle":"","family":"Haider","given":"Murtaza","non-dropping-particle":"","parse-names":false,"suffix":""},{"dropping-particle":"","family":"Shannon","given":"Randall","non-dropping-particle":"","parse-names":false,"suffix":""},{"dropping-particle":"","family":"Moschis","given":"George P.","non-dropping-particle":"","parse-names":false,"suffix":""}],"container-title":"Sustainability (Switzerland)","id":"ITEM-1","issue":"7","issued":{"date-parts":[["2022"]]},"page":"1-36","title":"Sustainable Consumption Research and the Role of Marketing: A Review of the Literature (1976–2021)","type":"article-journal","volume":"14"},"uris":["http://www.mendeley.com/documents/?uuid=35e153be-dfc9-4647-b692-46f7ec92ded5"]},{"id":"ITEM-2","itemData":{"DOI":"10.24127/pro.v7i2.2534","ISSN":"2337-4721","abstract":"One of the roles of education in the digital era, where all information can be obtained easily through existing facilities on smartphones / androids owned by students, then in an effort to improve financial literacy and student environment is expected to be achieved through web-based learning with the subject matter of scarcity theory and theory of consumer behavior. Specific research objectives, namely to produce learning media that are developed based on a valid, practical, and effective.The research method used in this research is research and development (R&amp;D). The results of the study note that, the validity test of teaching materials was developed and carried out by three validators, the results showed that this web-based economic teaching material was valid.Assessment based on respondents' opinions on web-based teaching materials shows a positive response. The results of practicality tests on 20 students have been considered practical. In addition, the effectiveness test shows that, web-based teaching materials have good effectiveness.The conclusion is that web-based teaching materials are valid, practical, and effective, so that they can be used in the learning process in the classroom to improve the competencies students must master, namely financial literacy and environmental literacy in terms of student consumption behavior. Keywords: financial literacy, environmental literacy, web-based learning media, student consumption behavior.","author":[{"dropping-particle":"","family":"Putri","given":"Dian Permana","non-dropping-particle":"","parse-names":false,"suffix":""},{"dropping-particle":"","family":"Anisah","given":"Aan","non-dropping-particle":"","parse-names":false,"suffix":""},{"dropping-particle":"","family":"Febianti","given":"Yopi Nisa","non-dropping-particle":"","parse-names":false,"suffix":""},{"dropping-particle":"","family":"Yuniningsih","given":"Yuniningsih","non-dropping-particle":"","parse-names":false,"suffix":""}],"container-title":"PROMOSI (Jurnal Pendidikan Ekonomi)","id":"ITEM-2","issue":"2","issued":{"date-parts":[["2019"]]},"page":"14-25","title":"Analisis Literasi Keuangan Dan Lingkungan Melalui Pembelajaran Berbasis Web Terhadap Perilaku Konsumsi Mahasiswa","type":"article-journal","volume":"7"},"uris":["http://www.mendeley.com/documents/?uuid=f9f84cc9-8ac1-4ab9-87c2-510aa7eb58fe"]},{"id":"ITEM-3","itemData":{"ISBN":"9788578110796","ISSN":"20711050","PMID":"25246403","abstract":"Predicting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approach.","author":[{"dropping-particle":"","family":"Wardina","given":"Nur","non-dropping-particle":"","parse-names":false,"suffix":""}],"container-title":"Social Science Research Network","id":"ITEM-3","issue":"1","issued":{"date-parts":[["2024"]]},"page":"1-14","title":"Sustainable Personal Finance : Planning for an Eco-Friendly Future","type":"article-journal","volume":"11"},"uris":["http://www.mendeley.com/documents/?uuid=320495eb-c07c-42e6-95ff-98efb0d3cfc8"]}],"mendeley":{"formattedCitation":"(Haider et al., 2022; Putri et al., 2019; Wardina, 2024)","plainTextFormattedCitation":"(Haider et al., 2022; Putri et al., 2019; Wardina, 2024)","previouslyFormattedCitation":"(Haider et al., 2022; Putri et al., 2019; Wardina, 2024)"},"properties":{"noteIndex":0},"schema":"https://github.com/citation-style-language/schema/raw/master/csl-citation.json"}</w:instrText>
      </w:r>
      <w:r w:rsidRPr="00045E6B">
        <w:rPr>
          <w:bCs/>
          <w:lang w:val="en-ID"/>
        </w:rPr>
        <w:fldChar w:fldCharType="separate"/>
      </w:r>
      <w:r w:rsidRPr="00045E6B">
        <w:rPr>
          <w:bCs/>
          <w:noProof/>
          <w:lang w:val="en-ID"/>
        </w:rPr>
        <w:t>(Haider et al., 2022; Putri et al., 2019; Wardina, 2024)</w:t>
      </w:r>
      <w:r w:rsidRPr="00045E6B">
        <w:rPr>
          <w:bCs/>
          <w:lang w:val="en-ID"/>
        </w:rPr>
        <w:fldChar w:fldCharType="end"/>
      </w:r>
      <w:r w:rsidRPr="00045E6B">
        <w:rPr>
          <w:bCs/>
          <w:lang w:val="en-ID"/>
        </w:rPr>
        <w:t>. This integrative approach highlights the novelty of the study and positions it as a meaningful extension of previous research.</w:t>
      </w:r>
    </w:p>
    <w:p w14:paraId="44412B81" w14:textId="77777777" w:rsidR="00045E6B" w:rsidRPr="00045E6B" w:rsidRDefault="00045E6B" w:rsidP="00045E6B">
      <w:pPr>
        <w:pStyle w:val="BodyText"/>
        <w:ind w:left="426" w:right="288" w:firstLine="567"/>
        <w:jc w:val="both"/>
        <w:rPr>
          <w:bCs/>
          <w:lang w:val="en-ID"/>
        </w:rPr>
      </w:pPr>
      <w:r w:rsidRPr="00045E6B">
        <w:rPr>
          <w:bCs/>
          <w:lang w:val="en-ID"/>
        </w:rPr>
        <w:t xml:space="preserve">Overall, the integration of these three financial capabilities strengthens Generation Z’s tendency to adopt sustainable consumption practices. This highlights that financial competence both traditional and digital plays a crucial role in shaping environmentally responsible </w:t>
      </w:r>
      <w:proofErr w:type="spellStart"/>
      <w:r w:rsidRPr="00045E6B">
        <w:rPr>
          <w:bCs/>
          <w:lang w:val="en-ID"/>
        </w:rPr>
        <w:t>behavior</w:t>
      </w:r>
      <w:proofErr w:type="spellEnd"/>
      <w:r w:rsidRPr="00045E6B">
        <w:rPr>
          <w:bCs/>
          <w:lang w:val="en-ID"/>
        </w:rPr>
        <w:t xml:space="preserve"> and supporting broader sustainability goals.</w:t>
      </w:r>
    </w:p>
    <w:p w14:paraId="132ED832" w14:textId="77777777" w:rsidR="00045E6B" w:rsidRPr="00045E6B" w:rsidRDefault="00045E6B" w:rsidP="00045E6B">
      <w:pPr>
        <w:pStyle w:val="BodyText"/>
        <w:spacing w:before="5"/>
        <w:ind w:left="426" w:right="288" w:firstLine="567"/>
        <w:jc w:val="both"/>
      </w:pPr>
    </w:p>
    <w:p w14:paraId="0728B1F6" w14:textId="77777777" w:rsidR="00045E6B" w:rsidRPr="00045E6B" w:rsidRDefault="00045E6B" w:rsidP="00045E6B">
      <w:pPr>
        <w:pStyle w:val="Heading1"/>
        <w:spacing w:before="1"/>
        <w:ind w:left="426" w:right="288"/>
        <w:jc w:val="both"/>
      </w:pPr>
      <w:r w:rsidRPr="00045E6B">
        <w:t>FUTURE RESEARCH AGENDA</w:t>
      </w:r>
    </w:p>
    <w:p w14:paraId="3F3FDBE5" w14:textId="77777777" w:rsidR="00045E6B" w:rsidRPr="00045E6B" w:rsidRDefault="00045E6B" w:rsidP="00045E6B">
      <w:pPr>
        <w:pStyle w:val="BodyText"/>
        <w:ind w:left="426" w:right="288" w:firstLine="567"/>
        <w:jc w:val="both"/>
      </w:pPr>
    </w:p>
    <w:p w14:paraId="0FE3BC82" w14:textId="77777777" w:rsidR="00045E6B" w:rsidRPr="00045E6B" w:rsidRDefault="00045E6B" w:rsidP="00045E6B">
      <w:pPr>
        <w:pStyle w:val="BodyText"/>
        <w:ind w:left="426" w:right="288" w:firstLine="567"/>
        <w:jc w:val="both"/>
      </w:pPr>
      <w:r w:rsidRPr="00045E6B">
        <w:t>Future research should expand on this study by incorporating a larger and more diverse sample, including different income levels, regions, and broader age groups within Generation Z, to improve the generalizability of the findings. Longitudinal studies could provide deeper insights into how financial literacy and digital finance influence sustainable consumption behaviors over time. Additionally, cross-cultural comparisons would help identify cultural and economic factors that shape these relationships. Qualitative approaches, such as interviews or focus groups, could further explore the motivations and challenges behind Generation Z's financial and consumption decisions. Investigating the role of emerging technologies, like blockchain or AI-driven financial tools, in promoting sustainable consumption could also be valuable. Finally, future studies should assess the effectiveness of financial education programs and digital finance policies in encouraging sustainable consumption, providing actionable recommendations for stakeholders.</w:t>
      </w:r>
    </w:p>
    <w:p w14:paraId="51FF415E" w14:textId="77777777" w:rsidR="00045E6B" w:rsidRDefault="00045E6B" w:rsidP="004A040C">
      <w:pPr>
        <w:ind w:left="450" w:right="288"/>
        <w:jc w:val="both"/>
        <w:rPr>
          <w:rFonts w:ascii="Times New Roman" w:hAnsi="Times New Roman" w:cs="Times New Roman"/>
          <w:b/>
          <w:sz w:val="24"/>
          <w:szCs w:val="24"/>
        </w:rPr>
      </w:pPr>
      <w:bookmarkStart w:id="3" w:name="_GoBack"/>
      <w:bookmarkEnd w:id="3"/>
    </w:p>
    <w:p w14:paraId="277EE9A3" w14:textId="6A808AF9" w:rsidR="004A040C" w:rsidRDefault="004A040C" w:rsidP="004A040C">
      <w:pPr>
        <w:ind w:left="426" w:right="288"/>
        <w:jc w:val="both"/>
        <w:rPr>
          <w:rFonts w:ascii="Times New Roman" w:hAnsi="Times New Roman" w:cs="Times New Roman"/>
          <w:b/>
          <w:bCs/>
          <w:iCs/>
          <w:sz w:val="24"/>
          <w:szCs w:val="24"/>
          <w:lang w:val="en-ID"/>
        </w:rPr>
      </w:pPr>
      <w:r w:rsidRPr="00641564">
        <w:rPr>
          <w:rFonts w:ascii="Times New Roman" w:hAnsi="Times New Roman" w:cs="Times New Roman"/>
          <w:b/>
          <w:bCs/>
          <w:iCs/>
          <w:sz w:val="24"/>
          <w:szCs w:val="24"/>
          <w:lang w:val="en-ID"/>
        </w:rPr>
        <w:t>CONCLUSION</w:t>
      </w:r>
    </w:p>
    <w:p w14:paraId="60605B6E" w14:textId="403126FE" w:rsidR="00045E6B" w:rsidRDefault="00045E6B" w:rsidP="004A040C">
      <w:pPr>
        <w:ind w:left="426" w:right="288"/>
        <w:jc w:val="both"/>
        <w:rPr>
          <w:rFonts w:ascii="Times New Roman" w:hAnsi="Times New Roman" w:cs="Times New Roman"/>
          <w:b/>
          <w:bCs/>
          <w:iCs/>
          <w:sz w:val="24"/>
          <w:szCs w:val="24"/>
          <w:lang w:val="en-ID"/>
        </w:rPr>
      </w:pPr>
    </w:p>
    <w:p w14:paraId="38B1B6B1" w14:textId="0B27AB9F" w:rsidR="009C335D" w:rsidRPr="009C335D" w:rsidRDefault="009C335D" w:rsidP="009C335D">
      <w:pPr>
        <w:ind w:left="426" w:right="288" w:firstLine="567"/>
        <w:jc w:val="both"/>
        <w:rPr>
          <w:rFonts w:ascii="Times New Roman" w:hAnsi="Times New Roman" w:cs="Times New Roman"/>
          <w:bCs/>
          <w:iCs/>
          <w:sz w:val="24"/>
          <w:szCs w:val="24"/>
          <w:lang w:val="en-ID"/>
        </w:rPr>
      </w:pPr>
      <w:r w:rsidRPr="009C335D">
        <w:rPr>
          <w:rFonts w:ascii="Times New Roman" w:hAnsi="Times New Roman" w:cs="Times New Roman"/>
          <w:bCs/>
          <w:iCs/>
          <w:sz w:val="24"/>
          <w:szCs w:val="24"/>
          <w:lang w:val="en-ID"/>
        </w:rPr>
        <w:t xml:space="preserve">The findings of this study underscore the significant role of personal financial management, financial literacy, and digital finance in driving sustainable consumption among Generation Z in Indonesia. Effective financial management and literacy empower individuals to make informed, responsible consumption choices, while digital finance tools enhance transparency and accessibility to sustainable options. These insights highlight the need for targeted financial education programs and the integration of digital solutions to support sustainable consumption practices. By addressing these factors, policymakers, educators, and financial institutions can contribute to achieving broader sustainability goals, such as SDG 12, which emphasizes responsible consumption and production. This research not only fills a gap in the literature but also provides a foundation for future initiatives aimed at fostering sustainable financial </w:t>
      </w:r>
      <w:proofErr w:type="spellStart"/>
      <w:r w:rsidRPr="009C335D">
        <w:rPr>
          <w:rFonts w:ascii="Times New Roman" w:hAnsi="Times New Roman" w:cs="Times New Roman"/>
          <w:bCs/>
          <w:iCs/>
          <w:sz w:val="24"/>
          <w:szCs w:val="24"/>
          <w:lang w:val="en-ID"/>
        </w:rPr>
        <w:t>behaviors</w:t>
      </w:r>
      <w:proofErr w:type="spellEnd"/>
      <w:r w:rsidRPr="009C335D">
        <w:rPr>
          <w:rFonts w:ascii="Times New Roman" w:hAnsi="Times New Roman" w:cs="Times New Roman"/>
          <w:bCs/>
          <w:iCs/>
          <w:sz w:val="24"/>
          <w:szCs w:val="24"/>
          <w:lang w:val="en-ID"/>
        </w:rPr>
        <w:t xml:space="preserve"> among younger generations.</w:t>
      </w:r>
    </w:p>
    <w:p w14:paraId="1716C7D1" w14:textId="5FFC6DFF" w:rsidR="006158E4" w:rsidRDefault="006158E4" w:rsidP="004A040C">
      <w:pPr>
        <w:ind w:left="426" w:right="288"/>
        <w:jc w:val="both"/>
        <w:rPr>
          <w:rFonts w:ascii="Times New Roman" w:hAnsi="Times New Roman" w:cs="Times New Roman"/>
          <w:b/>
          <w:bCs/>
          <w:iCs/>
          <w:sz w:val="24"/>
          <w:szCs w:val="24"/>
          <w:lang w:val="en-ID"/>
        </w:rPr>
      </w:pPr>
    </w:p>
    <w:p w14:paraId="3C01ACA8" w14:textId="579AA054" w:rsidR="00BF6BA8" w:rsidRDefault="00BF6BA8" w:rsidP="007C2D73">
      <w:pPr>
        <w:ind w:left="426" w:right="288"/>
        <w:jc w:val="both"/>
        <w:rPr>
          <w:rFonts w:ascii="Times New Roman" w:hAnsi="Times New Roman" w:cs="Times New Roman"/>
          <w:b/>
          <w:sz w:val="24"/>
          <w:szCs w:val="24"/>
        </w:rPr>
      </w:pPr>
      <w:r w:rsidRPr="00641564">
        <w:rPr>
          <w:rFonts w:ascii="Times New Roman" w:hAnsi="Times New Roman" w:cs="Times New Roman"/>
          <w:b/>
          <w:sz w:val="24"/>
          <w:szCs w:val="24"/>
        </w:rPr>
        <w:t>REFERENCES</w:t>
      </w:r>
    </w:p>
    <w:p w14:paraId="62058D0E" w14:textId="0A014A6D" w:rsidR="0080408B" w:rsidRPr="0080408B" w:rsidRDefault="0080408B" w:rsidP="0080408B">
      <w:pPr>
        <w:ind w:left="993" w:right="288" w:hanging="567"/>
        <w:jc w:val="both"/>
        <w:rPr>
          <w:rFonts w:ascii="Times New Roman" w:hAnsi="Times New Roman" w:cs="Times New Roman"/>
          <w:b/>
          <w:sz w:val="24"/>
          <w:szCs w:val="24"/>
        </w:rPr>
      </w:pPr>
    </w:p>
    <w:p w14:paraId="7F291AC2" w14:textId="77777777" w:rsidR="0080408B" w:rsidRPr="0080408B" w:rsidRDefault="0080408B" w:rsidP="0080408B">
      <w:pPr>
        <w:adjustRightInd w:val="0"/>
        <w:ind w:left="993" w:right="288" w:hanging="567"/>
        <w:jc w:val="both"/>
        <w:rPr>
          <w:rFonts w:ascii="Times New Roman" w:hAnsi="Times New Roman" w:cs="Times New Roman"/>
          <w:noProof/>
          <w:color w:val="auto"/>
          <w:kern w:val="0"/>
          <w:sz w:val="24"/>
          <w14:ligatures w14:val="none"/>
          <w14:cntxtAlts w14:val="0"/>
        </w:rPr>
      </w:pPr>
      <w:r w:rsidRPr="0080408B">
        <w:rPr>
          <w:rFonts w:ascii="Times New Roman" w:hAnsi="Times New Roman" w:cs="Times New Roman"/>
          <w:sz w:val="24"/>
        </w:rPr>
        <w:fldChar w:fldCharType="begin" w:fldLock="1"/>
      </w:r>
      <w:r w:rsidRPr="0080408B">
        <w:rPr>
          <w:rFonts w:ascii="Times New Roman" w:hAnsi="Times New Roman" w:cs="Times New Roman"/>
          <w:sz w:val="24"/>
        </w:rPr>
        <w:instrText xml:space="preserve">ADDIN Mendeley Bibliography CSL_BIBLIOGRAPHY </w:instrText>
      </w:r>
      <w:r w:rsidRPr="0080408B">
        <w:rPr>
          <w:rFonts w:ascii="Times New Roman" w:hAnsi="Times New Roman" w:cs="Times New Roman"/>
          <w:sz w:val="24"/>
        </w:rPr>
        <w:fldChar w:fldCharType="separate"/>
      </w:r>
      <w:r w:rsidRPr="0080408B">
        <w:rPr>
          <w:rFonts w:ascii="Times New Roman" w:hAnsi="Times New Roman" w:cs="Times New Roman"/>
          <w:noProof/>
          <w:sz w:val="24"/>
        </w:rPr>
        <w:t xml:space="preserve">Akibun, F., Prayitno, H., Z, R. A., &amp; Otto, N. M. (2025). </w:t>
      </w:r>
      <w:r w:rsidRPr="0080408B">
        <w:rPr>
          <w:rFonts w:ascii="Times New Roman" w:hAnsi="Times New Roman" w:cs="Times New Roman"/>
          <w:i/>
          <w:iCs/>
          <w:noProof/>
          <w:sz w:val="24"/>
        </w:rPr>
        <w:t>Financial Literacy In Gen Z Generation ( Case Study at Bina Taruna University Gorontalo )</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2</w:t>
      </w:r>
      <w:r w:rsidRPr="0080408B">
        <w:rPr>
          <w:rFonts w:ascii="Times New Roman" w:hAnsi="Times New Roman" w:cs="Times New Roman"/>
          <w:noProof/>
          <w:sz w:val="24"/>
        </w:rPr>
        <w:t>, 1–8.</w:t>
      </w:r>
    </w:p>
    <w:p w14:paraId="66F48820"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Ali, M., Alamgir, M., &amp; Nawaz, M. A. (2024). Emergence of the Digital Financial Literacy, and its Effect on the Financial Management Behavior among Students of Pakistan. </w:t>
      </w:r>
      <w:r w:rsidRPr="0080408B">
        <w:rPr>
          <w:rFonts w:ascii="Times New Roman" w:hAnsi="Times New Roman" w:cs="Times New Roman"/>
          <w:i/>
          <w:iCs/>
          <w:noProof/>
          <w:sz w:val="24"/>
        </w:rPr>
        <w:t>Pakistan Social Sciences Review</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8</w:t>
      </w:r>
      <w:r w:rsidRPr="0080408B">
        <w:rPr>
          <w:rFonts w:ascii="Times New Roman" w:hAnsi="Times New Roman" w:cs="Times New Roman"/>
          <w:noProof/>
          <w:sz w:val="24"/>
        </w:rPr>
        <w:t>(II). https://doi.org/10.35484/pssr.2024(8-ii)13</w:t>
      </w:r>
    </w:p>
    <w:p w14:paraId="4E171302"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lastRenderedPageBreak/>
        <w:t xml:space="preserve">Aubrey, M., Morin, A. J. S., Fernet, C., &amp; Carbonneau, N. (2022). Financial well-being: Capturing an elusive construct with an optimized measure. </w:t>
      </w:r>
      <w:r w:rsidRPr="0080408B">
        <w:rPr>
          <w:rFonts w:ascii="Times New Roman" w:hAnsi="Times New Roman" w:cs="Times New Roman"/>
          <w:i/>
          <w:iCs/>
          <w:noProof/>
          <w:sz w:val="24"/>
        </w:rPr>
        <w:t>Frontiers in Psychology</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13</w:t>
      </w:r>
      <w:r w:rsidRPr="0080408B">
        <w:rPr>
          <w:rFonts w:ascii="Times New Roman" w:hAnsi="Times New Roman" w:cs="Times New Roman"/>
          <w:noProof/>
          <w:sz w:val="24"/>
        </w:rPr>
        <w:t>(August). https://doi.org/10.3389/fpsyg.2022.935284</w:t>
      </w:r>
    </w:p>
    <w:p w14:paraId="66411655"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BriLatifa Paramita, B., &amp; Santi Paramita, V. (2024). The Influence of Financial Literacy, Lifestyle and Financial Planning on Consumptive Behavior In Millennials and Generation Z. </w:t>
      </w:r>
      <w:r w:rsidRPr="0080408B">
        <w:rPr>
          <w:rFonts w:ascii="Times New Roman" w:hAnsi="Times New Roman" w:cs="Times New Roman"/>
          <w:i/>
          <w:iCs/>
          <w:noProof/>
          <w:sz w:val="24"/>
        </w:rPr>
        <w:t>International Journal of Science, Technology &amp; Management</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5</w:t>
      </w:r>
      <w:r w:rsidRPr="0080408B">
        <w:rPr>
          <w:rFonts w:ascii="Times New Roman" w:hAnsi="Times New Roman" w:cs="Times New Roman"/>
          <w:noProof/>
          <w:sz w:val="24"/>
        </w:rPr>
        <w:t>(2), 373–382. https://doi.org/10.46729/ijstm.v5i2.1074</w:t>
      </w:r>
    </w:p>
    <w:p w14:paraId="6A029637"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Çallı, B. A., &amp; Coşkun, E. (2021). A Longitudinal Systematic Review of Credit Risk Assessment and Credit Default Predictors. </w:t>
      </w:r>
      <w:r w:rsidRPr="0080408B">
        <w:rPr>
          <w:rFonts w:ascii="Times New Roman" w:hAnsi="Times New Roman" w:cs="Times New Roman"/>
          <w:i/>
          <w:iCs/>
          <w:noProof/>
          <w:sz w:val="24"/>
        </w:rPr>
        <w:t>SAGE Open</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11</w:t>
      </w:r>
      <w:r w:rsidRPr="0080408B">
        <w:rPr>
          <w:rFonts w:ascii="Times New Roman" w:hAnsi="Times New Roman" w:cs="Times New Roman"/>
          <w:noProof/>
          <w:sz w:val="24"/>
        </w:rPr>
        <w:t>(4). https://doi.org/10.1177/21582440211061333</w:t>
      </w:r>
    </w:p>
    <w:p w14:paraId="0049A5EF"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Dyah Cahyasari. (2024). Analisis Perilaku Pengelolaan Keuangan Pada Generasi Z Di Indonesia. </w:t>
      </w:r>
      <w:r w:rsidRPr="0080408B">
        <w:rPr>
          <w:rFonts w:ascii="Times New Roman" w:hAnsi="Times New Roman" w:cs="Times New Roman"/>
          <w:i/>
          <w:iCs/>
          <w:noProof/>
          <w:sz w:val="24"/>
        </w:rPr>
        <w:t>Jurnal Lentera Bisnis</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13</w:t>
      </w:r>
      <w:r w:rsidRPr="0080408B">
        <w:rPr>
          <w:rFonts w:ascii="Times New Roman" w:hAnsi="Times New Roman" w:cs="Times New Roman"/>
          <w:noProof/>
          <w:sz w:val="24"/>
        </w:rPr>
        <w:t>(2), 1199–1207. https://doi.org/10.34127/jrlab.v13i2.1155</w:t>
      </w:r>
    </w:p>
    <w:p w14:paraId="246F6F28"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Fitri, F. (2023). The Influence of Financial Literacy, Age, and Gender on Sustainable Investment Preferences Among Millennial Students. </w:t>
      </w:r>
      <w:r w:rsidRPr="0080408B">
        <w:rPr>
          <w:rFonts w:ascii="Times New Roman" w:hAnsi="Times New Roman" w:cs="Times New Roman"/>
          <w:i/>
          <w:iCs/>
          <w:noProof/>
          <w:sz w:val="24"/>
        </w:rPr>
        <w:t>International Journal of Advanced Multidisciplinary</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2</w:t>
      </w:r>
      <w:r w:rsidRPr="0080408B">
        <w:rPr>
          <w:rFonts w:ascii="Times New Roman" w:hAnsi="Times New Roman" w:cs="Times New Roman"/>
          <w:noProof/>
          <w:sz w:val="24"/>
        </w:rPr>
        <w:t>(3), 764–771. https://doi.org/10.38035/ijam.v2i3.362</w:t>
      </w:r>
    </w:p>
    <w:p w14:paraId="62082740"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Francis, A., &amp; Sarangi, G. K. (2022). Sustainable consumer behaviour of Indian millennials: Some evidence. </w:t>
      </w:r>
      <w:r w:rsidRPr="0080408B">
        <w:rPr>
          <w:rFonts w:ascii="Times New Roman" w:hAnsi="Times New Roman" w:cs="Times New Roman"/>
          <w:i/>
          <w:iCs/>
          <w:noProof/>
          <w:sz w:val="24"/>
        </w:rPr>
        <w:t>Current Research in Environmental Sustainability</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4</w:t>
      </w:r>
      <w:r w:rsidRPr="0080408B">
        <w:rPr>
          <w:rFonts w:ascii="Times New Roman" w:hAnsi="Times New Roman" w:cs="Times New Roman"/>
          <w:noProof/>
          <w:sz w:val="24"/>
        </w:rPr>
        <w:t>(November 2021), 100109. https://doi.org/10.1016/j.crsust.2021.100109</w:t>
      </w:r>
    </w:p>
    <w:p w14:paraId="6DD6A2AE"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Haider, M., Shannon, R., &amp; Moschis, G. P. (2022). Sustainable Consumption Research and the Role of Marketing: A Review of the Literature (1976–2021). </w:t>
      </w:r>
      <w:r w:rsidRPr="0080408B">
        <w:rPr>
          <w:rFonts w:ascii="Times New Roman" w:hAnsi="Times New Roman" w:cs="Times New Roman"/>
          <w:i/>
          <w:iCs/>
          <w:noProof/>
          <w:sz w:val="24"/>
        </w:rPr>
        <w:t>Sustainability (Switzerland)</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14</w:t>
      </w:r>
      <w:r w:rsidRPr="0080408B">
        <w:rPr>
          <w:rFonts w:ascii="Times New Roman" w:hAnsi="Times New Roman" w:cs="Times New Roman"/>
          <w:noProof/>
          <w:sz w:val="24"/>
        </w:rPr>
        <w:t>(7), 1–36. https://doi.org/10.3390/su14073999</w:t>
      </w:r>
    </w:p>
    <w:p w14:paraId="5E2BE4A5"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Hidayat, C. M., &amp; Muntahanah, S. (2024). The investment decision on generation Z in Capital Market. </w:t>
      </w:r>
      <w:r w:rsidRPr="0080408B">
        <w:rPr>
          <w:rFonts w:ascii="Times New Roman" w:hAnsi="Times New Roman" w:cs="Times New Roman"/>
          <w:i/>
          <w:iCs/>
          <w:noProof/>
          <w:sz w:val="24"/>
        </w:rPr>
        <w:t>Journal of Management Science (JMAS)</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7</w:t>
      </w:r>
      <w:r w:rsidRPr="0080408B">
        <w:rPr>
          <w:rFonts w:ascii="Times New Roman" w:hAnsi="Times New Roman" w:cs="Times New Roman"/>
          <w:noProof/>
          <w:sz w:val="24"/>
        </w:rPr>
        <w:t>(1), 8–14.</w:t>
      </w:r>
    </w:p>
    <w:p w14:paraId="54EF7C76"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Infante, Y. O. T. A. Y., &amp; Mardika, D. R. W. (2024). Determinant of Financial Management Behavior: Evidence From MSMES Gen-Z. </w:t>
      </w:r>
      <w:r w:rsidRPr="0080408B">
        <w:rPr>
          <w:rFonts w:ascii="Times New Roman" w:hAnsi="Times New Roman" w:cs="Times New Roman"/>
          <w:i/>
          <w:iCs/>
          <w:noProof/>
          <w:sz w:val="24"/>
        </w:rPr>
        <w:t>International Journal of Management and Digital Business</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3</w:t>
      </w:r>
      <w:r w:rsidRPr="0080408B">
        <w:rPr>
          <w:rFonts w:ascii="Times New Roman" w:hAnsi="Times New Roman" w:cs="Times New Roman"/>
          <w:noProof/>
          <w:sz w:val="24"/>
        </w:rPr>
        <w:t>(1), 32–43. https://doi.org/10.54099/ijmdb.v3i1.943%0Ahttps://journal.adpebi.com/index.php/ijmdb</w:t>
      </w:r>
    </w:p>
    <w:p w14:paraId="028691A3"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Jowey, G. F. M., Ferli, O., Wijaya, E., &amp; Haryanti, E. (2024). Influence herding and loss aversion to stock investment decisions with fear of missing out (FoMO) as a mediating variable in the young generation in jakarta. </w:t>
      </w:r>
      <w:r w:rsidRPr="0080408B">
        <w:rPr>
          <w:rFonts w:ascii="Times New Roman" w:hAnsi="Times New Roman" w:cs="Times New Roman"/>
          <w:i/>
          <w:iCs/>
          <w:noProof/>
          <w:sz w:val="24"/>
        </w:rPr>
        <w:t>Greenation International Journal of Economics and Accounting</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2</w:t>
      </w:r>
      <w:r w:rsidRPr="0080408B">
        <w:rPr>
          <w:rFonts w:ascii="Times New Roman" w:hAnsi="Times New Roman" w:cs="Times New Roman"/>
          <w:noProof/>
          <w:sz w:val="24"/>
        </w:rPr>
        <w:t>(2), 189–201. https://creativecommons.org/licenses/by/4.0/</w:t>
      </w:r>
    </w:p>
    <w:p w14:paraId="7F8DDAB9"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Lathief, J. T. A., Kumaravel, S. C., Velnadar, R., Vijayan, R. V., &amp; Parayitam, S. (2024). Quantifying Risk in Investment Decision-Making. </w:t>
      </w:r>
      <w:r w:rsidRPr="0080408B">
        <w:rPr>
          <w:rFonts w:ascii="Times New Roman" w:hAnsi="Times New Roman" w:cs="Times New Roman"/>
          <w:i/>
          <w:iCs/>
          <w:noProof/>
          <w:sz w:val="24"/>
        </w:rPr>
        <w:t>Journal of Risk and Financial Management</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17</w:t>
      </w:r>
      <w:r w:rsidRPr="0080408B">
        <w:rPr>
          <w:rFonts w:ascii="Times New Roman" w:hAnsi="Times New Roman" w:cs="Times New Roman"/>
          <w:noProof/>
          <w:sz w:val="24"/>
        </w:rPr>
        <w:t>(2). https://doi.org/10.3390/jrfm17020082</w:t>
      </w:r>
    </w:p>
    <w:p w14:paraId="000CFA7A"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Li, Q. (2024). Empowering Financial Management in Educational Institutions: A Multi-Objective Decision-Making System using Intelligent Fuzzy Logic Algorithm and Digital Marketing. </w:t>
      </w:r>
      <w:r w:rsidRPr="0080408B">
        <w:rPr>
          <w:rFonts w:ascii="Times New Roman" w:hAnsi="Times New Roman" w:cs="Times New Roman"/>
          <w:i/>
          <w:iCs/>
          <w:noProof/>
          <w:sz w:val="24"/>
        </w:rPr>
        <w:t>Computer-Aided Design and Applications</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21</w:t>
      </w:r>
      <w:r w:rsidRPr="0080408B">
        <w:rPr>
          <w:rFonts w:ascii="Times New Roman" w:hAnsi="Times New Roman" w:cs="Times New Roman"/>
          <w:noProof/>
          <w:sz w:val="24"/>
        </w:rPr>
        <w:t>(S4), 198–210. https://doi.org/10.14733/cadaps.2024.S4.198-210</w:t>
      </w:r>
    </w:p>
    <w:p w14:paraId="0CF1C9E7"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Lindner, F., Kirchler, M., Rosenkranz, S., &amp; Weitzel, U. (2021). Social Motives and Risk-Taking in Investment Decisions. </w:t>
      </w:r>
      <w:r w:rsidRPr="0080408B">
        <w:rPr>
          <w:rFonts w:ascii="Times New Roman" w:hAnsi="Times New Roman" w:cs="Times New Roman"/>
          <w:i/>
          <w:iCs/>
          <w:noProof/>
          <w:sz w:val="24"/>
        </w:rPr>
        <w:t>Journal of Economic Dynamics and Control</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127</w:t>
      </w:r>
      <w:r w:rsidRPr="0080408B">
        <w:rPr>
          <w:rFonts w:ascii="Times New Roman" w:hAnsi="Times New Roman" w:cs="Times New Roman"/>
          <w:noProof/>
          <w:sz w:val="24"/>
        </w:rPr>
        <w:t>. https://doi.org/10.1016/j.jedc.2021.104116</w:t>
      </w:r>
    </w:p>
    <w:p w14:paraId="32DB6382"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Listiani, E., &amp; Soleha, E. (2023). Literasi Keuangan, Risk Tolerance dan Overconfidence Terhadap Keputusan Investasi pada Pekerja di Kawasan Industri Cikarang. </w:t>
      </w:r>
      <w:r w:rsidRPr="0080408B">
        <w:rPr>
          <w:rFonts w:ascii="Times New Roman" w:hAnsi="Times New Roman" w:cs="Times New Roman"/>
          <w:i/>
          <w:iCs/>
          <w:noProof/>
          <w:sz w:val="24"/>
        </w:rPr>
        <w:t xml:space="preserve">Journal </w:t>
      </w:r>
      <w:r w:rsidRPr="0080408B">
        <w:rPr>
          <w:rFonts w:ascii="Times New Roman" w:hAnsi="Times New Roman" w:cs="Times New Roman"/>
          <w:i/>
          <w:iCs/>
          <w:noProof/>
          <w:sz w:val="24"/>
        </w:rPr>
        <w:lastRenderedPageBreak/>
        <w:t>of Management and Bussines (JOMB)</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5</w:t>
      </w:r>
      <w:r w:rsidRPr="0080408B">
        <w:rPr>
          <w:rFonts w:ascii="Times New Roman" w:hAnsi="Times New Roman" w:cs="Times New Roman"/>
          <w:noProof/>
          <w:sz w:val="24"/>
        </w:rPr>
        <w:t>(2), 983–993. https://doi.org/10.31539/jomb.v5i2.6271</w:t>
      </w:r>
    </w:p>
    <w:p w14:paraId="25854964"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Mahasanti, P. D. P., &amp; Asandimitra, N. (2024). Analysis of the Implication of Factors Affecting Gen Z E-Commerce Users’ Financial Management Behavior. </w:t>
      </w:r>
      <w:r w:rsidRPr="0080408B">
        <w:rPr>
          <w:rFonts w:ascii="Times New Roman" w:hAnsi="Times New Roman" w:cs="Times New Roman"/>
          <w:i/>
          <w:iCs/>
          <w:noProof/>
          <w:sz w:val="24"/>
        </w:rPr>
        <w:t>International Journal of Multicultural and Multireligious Understanding</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11</w:t>
      </w:r>
      <w:r w:rsidRPr="0080408B">
        <w:rPr>
          <w:rFonts w:ascii="Times New Roman" w:hAnsi="Times New Roman" w:cs="Times New Roman"/>
          <w:noProof/>
          <w:sz w:val="24"/>
        </w:rPr>
        <w:t>(5), 282. https://doi.org/10.18415/ijmmu.v11i5.5691</w:t>
      </w:r>
    </w:p>
    <w:p w14:paraId="055D3675"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Mehrotra, A. A., Sengupta, D., M. El Khoury, C., &amp; Arkadan, F. (2024). Sustainable consumption behavior among Bahraini young female consumers. </w:t>
      </w:r>
      <w:r w:rsidRPr="0080408B">
        <w:rPr>
          <w:rFonts w:ascii="Times New Roman" w:hAnsi="Times New Roman" w:cs="Times New Roman"/>
          <w:i/>
          <w:iCs/>
          <w:noProof/>
          <w:sz w:val="24"/>
        </w:rPr>
        <w:t>Social Responsibility Journal</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21</w:t>
      </w:r>
      <w:r w:rsidRPr="0080408B">
        <w:rPr>
          <w:rFonts w:ascii="Times New Roman" w:hAnsi="Times New Roman" w:cs="Times New Roman"/>
          <w:noProof/>
          <w:sz w:val="24"/>
        </w:rPr>
        <w:t>(1), 133–153. https://doi.org/10.1108/SRJ-09-2023-0519</w:t>
      </w:r>
    </w:p>
    <w:p w14:paraId="63FED1A9"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Muhyidin, A., Istimal, I., Sutar, S., &amp; Maswanto, M. (2024). Towards sustainable consumption: The role of knowledge, environment, and promotion for the millennial generation. </w:t>
      </w:r>
      <w:r w:rsidRPr="0080408B">
        <w:rPr>
          <w:rFonts w:ascii="Times New Roman" w:hAnsi="Times New Roman" w:cs="Times New Roman"/>
          <w:i/>
          <w:iCs/>
          <w:noProof/>
          <w:sz w:val="24"/>
        </w:rPr>
        <w:t>BISMA (Bisnis Dan Manajemen)</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16</w:t>
      </w:r>
      <w:r w:rsidRPr="0080408B">
        <w:rPr>
          <w:rFonts w:ascii="Times New Roman" w:hAnsi="Times New Roman" w:cs="Times New Roman"/>
          <w:noProof/>
          <w:sz w:val="24"/>
        </w:rPr>
        <w:t>(2), 144–166. https://doi.org/10.26740/bisma.v16n2.p144-166</w:t>
      </w:r>
    </w:p>
    <w:p w14:paraId="41BE3236"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Ofodile, O. C., Odeyemi, O., Okoye, C. C., Addy, W. A., Oyewole, A. T., Adeoye, O. B., &amp; Ololade, Y. J. (2024). Digital Banking Regulations: a Comparative Review Between Nigeria and the USA. </w:t>
      </w:r>
      <w:r w:rsidRPr="0080408B">
        <w:rPr>
          <w:rFonts w:ascii="Times New Roman" w:hAnsi="Times New Roman" w:cs="Times New Roman"/>
          <w:i/>
          <w:iCs/>
          <w:noProof/>
          <w:sz w:val="24"/>
        </w:rPr>
        <w:t>Finance &amp; Accounting Research Journal</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6</w:t>
      </w:r>
      <w:r w:rsidRPr="0080408B">
        <w:rPr>
          <w:rFonts w:ascii="Times New Roman" w:hAnsi="Times New Roman" w:cs="Times New Roman"/>
          <w:noProof/>
          <w:sz w:val="24"/>
        </w:rPr>
        <w:t>(3), 347–371. https://doi.org/10.51594/farj.v6i3.897</w:t>
      </w:r>
    </w:p>
    <w:p w14:paraId="38991816"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Olajide, O., Pandey, S., &amp; Pandey, I. (2024). Social Media for Investment Advice and Financial Satisfaction: Does Generation Matter? </w:t>
      </w:r>
      <w:r w:rsidRPr="0080408B">
        <w:rPr>
          <w:rFonts w:ascii="Times New Roman" w:hAnsi="Times New Roman" w:cs="Times New Roman"/>
          <w:i/>
          <w:iCs/>
          <w:noProof/>
          <w:sz w:val="24"/>
        </w:rPr>
        <w:t>Journal of Risk and Financial Management</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17</w:t>
      </w:r>
      <w:r w:rsidRPr="0080408B">
        <w:rPr>
          <w:rFonts w:ascii="Times New Roman" w:hAnsi="Times New Roman" w:cs="Times New Roman"/>
          <w:noProof/>
          <w:sz w:val="24"/>
        </w:rPr>
        <w:t>(9), 410. https://www.mdpi.com/1911-8074/17/9/410</w:t>
      </w:r>
    </w:p>
    <w:p w14:paraId="643DCEFE"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Pokharel, J., &amp; Maharjan, I. (2024). </w:t>
      </w:r>
      <w:r w:rsidRPr="0080408B">
        <w:rPr>
          <w:rFonts w:ascii="Times New Roman" w:hAnsi="Times New Roman" w:cs="Times New Roman"/>
          <w:i/>
          <w:iCs/>
          <w:noProof/>
          <w:sz w:val="24"/>
        </w:rPr>
        <w:t>Green human resource management for Financial Behavior of Generation Z and Millennials organizational sustainability : lessons from insurance companies in emerging market</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w:t>
      </w:r>
      <w:r w:rsidRPr="0080408B">
        <w:rPr>
          <w:rFonts w:ascii="Times New Roman" w:hAnsi="Times New Roman" w:cs="Times New Roman"/>
          <w:noProof/>
          <w:sz w:val="24"/>
        </w:rPr>
        <w:t>(1), 148–170.</w:t>
      </w:r>
    </w:p>
    <w:p w14:paraId="323ADFA9"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Putri, D. P., Anisah, A., Febianti, Y. N., &amp; Yuniningsih, Y. (2019). Analisis Literasi Keuangan Dan Lingkungan Melalui Pembelajaran Berbasis Web Terhadap Perilaku Konsumsi Mahasiswa. </w:t>
      </w:r>
      <w:r w:rsidRPr="0080408B">
        <w:rPr>
          <w:rFonts w:ascii="Times New Roman" w:hAnsi="Times New Roman" w:cs="Times New Roman"/>
          <w:i/>
          <w:iCs/>
          <w:noProof/>
          <w:sz w:val="24"/>
        </w:rPr>
        <w:t>PROMOSI (Jurnal Pendidikan Ekonomi)</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7</w:t>
      </w:r>
      <w:r w:rsidRPr="0080408B">
        <w:rPr>
          <w:rFonts w:ascii="Times New Roman" w:hAnsi="Times New Roman" w:cs="Times New Roman"/>
          <w:noProof/>
          <w:sz w:val="24"/>
        </w:rPr>
        <w:t>(2), 14–25. https://doi.org/10.24127/pro.v7i2.2534</w:t>
      </w:r>
    </w:p>
    <w:p w14:paraId="17A313C3"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Reganti, A. M., Lahoti, M., Sethia, T., Bafna, D., &amp; Chetan, G. V. (2025). </w:t>
      </w:r>
      <w:r w:rsidRPr="0080408B">
        <w:rPr>
          <w:rFonts w:ascii="Times New Roman" w:hAnsi="Times New Roman" w:cs="Times New Roman"/>
          <w:i/>
          <w:iCs/>
          <w:noProof/>
          <w:sz w:val="24"/>
        </w:rPr>
        <w:t>International Journal of Research Publication and Reviews Digital Finance and Gen Z : The Impact of Fintech on Modern Money</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6</w:t>
      </w:r>
      <w:r w:rsidRPr="0080408B">
        <w:rPr>
          <w:rFonts w:ascii="Times New Roman" w:hAnsi="Times New Roman" w:cs="Times New Roman"/>
          <w:noProof/>
          <w:sz w:val="24"/>
        </w:rPr>
        <w:t>, 7352–7362.</w:t>
      </w:r>
    </w:p>
    <w:p w14:paraId="6639F09C"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Riitsalu, L., Sulg, R., Lindal, H., Remmik, M., &amp; Vain, K. (2024). From Security to Freedom— The Meaning of Financial Well-being Changes with Age. </w:t>
      </w:r>
      <w:r w:rsidRPr="0080408B">
        <w:rPr>
          <w:rFonts w:ascii="Times New Roman" w:hAnsi="Times New Roman" w:cs="Times New Roman"/>
          <w:i/>
          <w:iCs/>
          <w:noProof/>
          <w:sz w:val="24"/>
        </w:rPr>
        <w:t>Journal of Family and Economic Issues</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45</w:t>
      </w:r>
      <w:r w:rsidRPr="0080408B">
        <w:rPr>
          <w:rFonts w:ascii="Times New Roman" w:hAnsi="Times New Roman" w:cs="Times New Roman"/>
          <w:noProof/>
          <w:sz w:val="24"/>
        </w:rPr>
        <w:t>(1), 56–69. https://doi.org/10.1007/s10834-023-09886-z</w:t>
      </w:r>
    </w:p>
    <w:p w14:paraId="57D08988"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Schütze, T., Schmidt, U., Spitzer, C., &amp; Wichardt, P. C. (2024). Illusion of Control: Psychological Characteristics as Moderators in Financial Decision Making. </w:t>
      </w:r>
      <w:r w:rsidRPr="0080408B">
        <w:rPr>
          <w:rFonts w:ascii="Times New Roman" w:hAnsi="Times New Roman" w:cs="Times New Roman"/>
          <w:i/>
          <w:iCs/>
          <w:noProof/>
          <w:sz w:val="24"/>
        </w:rPr>
        <w:t>Journal of Risk and Financial Management</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17</w:t>
      </w:r>
      <w:r w:rsidRPr="0080408B">
        <w:rPr>
          <w:rFonts w:ascii="Times New Roman" w:hAnsi="Times New Roman" w:cs="Times New Roman"/>
          <w:noProof/>
          <w:sz w:val="24"/>
        </w:rPr>
        <w:t>(2). https://doi.org/10.3390/jrfm17020065</w:t>
      </w:r>
    </w:p>
    <w:p w14:paraId="7638FFB8"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Srivastava, S., Mohta, A., &amp; Shunmugasundaram, V. (2024). Adoption of digital payment FinTech service by Gen Y and Gen Z users: evidence from India. </w:t>
      </w:r>
      <w:r w:rsidRPr="0080408B">
        <w:rPr>
          <w:rFonts w:ascii="Times New Roman" w:hAnsi="Times New Roman" w:cs="Times New Roman"/>
          <w:i/>
          <w:iCs/>
          <w:noProof/>
          <w:sz w:val="24"/>
        </w:rPr>
        <w:t xml:space="preserve">Digital Policy, Regulation and Governance </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26</w:t>
      </w:r>
      <w:r w:rsidRPr="0080408B">
        <w:rPr>
          <w:rFonts w:ascii="Times New Roman" w:hAnsi="Times New Roman" w:cs="Times New Roman"/>
          <w:noProof/>
          <w:sz w:val="24"/>
        </w:rPr>
        <w:t>(1), 95–117. https://doi.org/10.1108/DPRG-07-2023-0110</w:t>
      </w:r>
    </w:p>
    <w:p w14:paraId="03B72378"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Statistik, B. P. (2024). Jumlah Penduduk Usia 15 tahun ke Atas Menurut Golongan Umur, 2024. </w:t>
      </w:r>
      <w:r w:rsidRPr="0080408B">
        <w:rPr>
          <w:rFonts w:ascii="Times New Roman" w:hAnsi="Times New Roman" w:cs="Times New Roman"/>
          <w:i/>
          <w:iCs/>
          <w:noProof/>
          <w:sz w:val="24"/>
        </w:rPr>
        <w:t>Badan Pusat Statistik</w:t>
      </w:r>
      <w:r w:rsidRPr="0080408B">
        <w:rPr>
          <w:rFonts w:ascii="Times New Roman" w:hAnsi="Times New Roman" w:cs="Times New Roman"/>
          <w:noProof/>
          <w:sz w:val="24"/>
        </w:rPr>
        <w:t>. https://www.bps.go.id/id/statistics-table/2/NzE1IzI=/jumlah-penduduk-usia-15-tahun-ke-atas-menurut-golongan-umur.html</w:t>
      </w:r>
    </w:p>
    <w:p w14:paraId="23D85C2E"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lastRenderedPageBreak/>
        <w:t xml:space="preserve">Sudrajad, A. I., Tricahyono, D., Al-Amin, Zuwardi, Yulianti, E. B., Irnayenti, Ahmad, &amp; Rosmawati, W. (2023). The Role of Digitalization Performance on Digital Business Strategy in Indonesia MSEMs. </w:t>
      </w:r>
      <w:r w:rsidRPr="0080408B">
        <w:rPr>
          <w:rFonts w:ascii="Times New Roman" w:hAnsi="Times New Roman" w:cs="Times New Roman"/>
          <w:i/>
          <w:iCs/>
          <w:noProof/>
          <w:sz w:val="24"/>
        </w:rPr>
        <w:t>International Journal of Professional Business Review</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8</w:t>
      </w:r>
      <w:r w:rsidRPr="0080408B">
        <w:rPr>
          <w:rFonts w:ascii="Times New Roman" w:hAnsi="Times New Roman" w:cs="Times New Roman"/>
          <w:noProof/>
          <w:sz w:val="24"/>
        </w:rPr>
        <w:t>(6), e02260. https://doi.org/10.26668/businessreview/2023.v8i6.2260</w:t>
      </w:r>
    </w:p>
    <w:p w14:paraId="3E552348"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Ummah, M. S. (2024). Greening Your Wallet: The Financial Impact of Eco-Friendly Choices. </w:t>
      </w:r>
      <w:r w:rsidRPr="0080408B">
        <w:rPr>
          <w:rFonts w:ascii="Times New Roman" w:hAnsi="Times New Roman" w:cs="Times New Roman"/>
          <w:i/>
          <w:iCs/>
          <w:noProof/>
          <w:sz w:val="24"/>
        </w:rPr>
        <w:t>Sustainability (Switzerland)</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11</w:t>
      </w:r>
      <w:r w:rsidRPr="0080408B">
        <w:rPr>
          <w:rFonts w:ascii="Times New Roman" w:hAnsi="Times New Roman" w:cs="Times New Roman"/>
          <w:noProof/>
          <w:sz w:val="24"/>
        </w:rPr>
        <w:t>(1), 1–14. http://scioteca.caf.com/bitstream/handle/123456789/1091/RED2017-Eng-8ene.pdf?sequence=12&amp;isAllowed=y%0Ahttp://dx.doi.org/10.1016/j.regsciurbeco.2008.06.005%0Ahttps://www.researchgate.net/publication/305320484_SISTEM_PEMBETUNGAN_TERPUSAT_STRATEGI_MELESTARI</w:t>
      </w:r>
    </w:p>
    <w:p w14:paraId="63376170"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Vania, V., Wahyudi, W., &amp; Kurniasih, D. (2024). Analysis of Financial Literacy and Cashless Society on Financial Satisfaction through Financial Behavior in Gen Z. </w:t>
      </w:r>
      <w:r w:rsidRPr="0080408B">
        <w:rPr>
          <w:rFonts w:ascii="Times New Roman" w:hAnsi="Times New Roman" w:cs="Times New Roman"/>
          <w:i/>
          <w:iCs/>
          <w:noProof/>
          <w:sz w:val="24"/>
        </w:rPr>
        <w:t>International Journal of Economics Development Research</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5</w:t>
      </w:r>
      <w:r w:rsidRPr="0080408B">
        <w:rPr>
          <w:rFonts w:ascii="Times New Roman" w:hAnsi="Times New Roman" w:cs="Times New Roman"/>
          <w:noProof/>
          <w:sz w:val="24"/>
        </w:rPr>
        <w:t>(1), 2024–2475.</w:t>
      </w:r>
    </w:p>
    <w:p w14:paraId="5EA1EF2F"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Wardina, N. (2024). Sustainable Personal Finance : Planning for an Eco-Friendly Future. </w:t>
      </w:r>
      <w:r w:rsidRPr="0080408B">
        <w:rPr>
          <w:rFonts w:ascii="Times New Roman" w:hAnsi="Times New Roman" w:cs="Times New Roman"/>
          <w:i/>
          <w:iCs/>
          <w:noProof/>
          <w:sz w:val="24"/>
        </w:rPr>
        <w:t>Social Science Research Network</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11</w:t>
      </w:r>
      <w:r w:rsidRPr="0080408B">
        <w:rPr>
          <w:rFonts w:ascii="Times New Roman" w:hAnsi="Times New Roman" w:cs="Times New Roman"/>
          <w:noProof/>
          <w:sz w:val="24"/>
        </w:rPr>
        <w:t>(1), 1–14. http://scioteca.caf.com/bitstream/handle/123456789/1091/RED2017-Eng-8ene.pdf?sequence=12&amp;isAllowed=y%0Ahttp://dx.doi.org/10.1016/j.regsciurbeco.2008.06.005%0Ahttps://www.researchgate.net/publication/305320484_SISTEM_PEMBETUNGAN_TERPUSAT_STRATEGI_MELESTARI</w:t>
      </w:r>
    </w:p>
    <w:p w14:paraId="0561D4B1"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Widiastuti, Soleha, E., Zakiatul Hidayah, Z., &amp; Meirani, N. (2024). Analisis Risk Tolerance dan Overconfidence terhadap Keputusan Investasi di Bursa Efek Indonesia. </w:t>
      </w:r>
      <w:r w:rsidRPr="0080408B">
        <w:rPr>
          <w:rFonts w:ascii="Times New Roman" w:hAnsi="Times New Roman" w:cs="Times New Roman"/>
          <w:i/>
          <w:iCs/>
          <w:noProof/>
          <w:sz w:val="24"/>
        </w:rPr>
        <w:t>Jurnal Pendidikan Ekonomi Dan Kewirausahaan)</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8</w:t>
      </w:r>
      <w:r w:rsidRPr="0080408B">
        <w:rPr>
          <w:rFonts w:ascii="Times New Roman" w:hAnsi="Times New Roman" w:cs="Times New Roman"/>
          <w:noProof/>
          <w:sz w:val="24"/>
        </w:rPr>
        <w:t>(1), 263. https://doi.org/10.29408/jpek.v8i1.25274</w:t>
      </w:r>
    </w:p>
    <w:p w14:paraId="15292C05"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Widyaningsih, D., Susilowati, H., &amp; Hargyatni, T. (2024). </w:t>
      </w:r>
      <w:r w:rsidRPr="0080408B">
        <w:rPr>
          <w:rFonts w:ascii="Times New Roman" w:hAnsi="Times New Roman" w:cs="Times New Roman"/>
          <w:i/>
          <w:iCs/>
          <w:noProof/>
          <w:sz w:val="24"/>
        </w:rPr>
        <w:t>Peran mediasi behavior finance berinvestasi Milenial dan Gen Z dalam preferensi</w:t>
      </w:r>
      <w:r w:rsidRPr="0080408B">
        <w:rPr>
          <w:rFonts w:ascii="Times New Roman" w:hAnsi="Times New Roman" w:cs="Times New Roman"/>
          <w:noProof/>
          <w:sz w:val="24"/>
        </w:rPr>
        <w:t xml:space="preserve">. </w:t>
      </w:r>
      <w:r w:rsidRPr="0080408B">
        <w:rPr>
          <w:rFonts w:ascii="Times New Roman" w:hAnsi="Times New Roman" w:cs="Times New Roman"/>
          <w:i/>
          <w:iCs/>
          <w:noProof/>
          <w:sz w:val="24"/>
        </w:rPr>
        <w:t>4</w:t>
      </w:r>
      <w:r w:rsidRPr="0080408B">
        <w:rPr>
          <w:rFonts w:ascii="Times New Roman" w:hAnsi="Times New Roman" w:cs="Times New Roman"/>
          <w:noProof/>
          <w:sz w:val="24"/>
        </w:rPr>
        <w:t>(3), 513–528.</w:t>
      </w:r>
    </w:p>
    <w:p w14:paraId="678A8B9D" w14:textId="77777777" w:rsidR="0080408B" w:rsidRPr="0080408B" w:rsidRDefault="0080408B" w:rsidP="0080408B">
      <w:pPr>
        <w:adjustRightInd w:val="0"/>
        <w:ind w:left="993" w:right="288" w:hanging="567"/>
        <w:jc w:val="both"/>
        <w:rPr>
          <w:rFonts w:ascii="Times New Roman" w:hAnsi="Times New Roman" w:cs="Times New Roman"/>
          <w:noProof/>
          <w:sz w:val="24"/>
        </w:rPr>
      </w:pPr>
      <w:r w:rsidRPr="0080408B">
        <w:rPr>
          <w:rFonts w:ascii="Times New Roman" w:hAnsi="Times New Roman" w:cs="Times New Roman"/>
          <w:noProof/>
          <w:sz w:val="24"/>
        </w:rPr>
        <w:t xml:space="preserve">Yie, K. L., &amp; Wen, W. J. Y. L. T. J. T. K. (2024). Eco-Friendly Consumption and Sustainable Energy Investments: A Framework for Personal Wealth Accumulation and Consumption Planning. </w:t>
      </w:r>
      <w:r w:rsidRPr="0080408B">
        <w:rPr>
          <w:rFonts w:ascii="Times New Roman" w:hAnsi="Times New Roman" w:cs="Times New Roman"/>
          <w:i/>
          <w:iCs/>
          <w:noProof/>
          <w:sz w:val="24"/>
        </w:rPr>
        <w:t>Social Science Research Network</w:t>
      </w:r>
      <w:r w:rsidRPr="0080408B">
        <w:rPr>
          <w:rFonts w:ascii="Times New Roman" w:hAnsi="Times New Roman" w:cs="Times New Roman"/>
          <w:noProof/>
          <w:sz w:val="24"/>
        </w:rPr>
        <w:t>, 1–23.</w:t>
      </w:r>
    </w:p>
    <w:p w14:paraId="491AF108" w14:textId="77777777" w:rsidR="0080408B" w:rsidRDefault="0080408B" w:rsidP="0080408B">
      <w:pPr>
        <w:spacing w:line="216" w:lineRule="auto"/>
        <w:ind w:left="993" w:right="288" w:hanging="567"/>
        <w:jc w:val="both"/>
        <w:rPr>
          <w:sz w:val="24"/>
        </w:rPr>
      </w:pPr>
      <w:r w:rsidRPr="0080408B">
        <w:rPr>
          <w:rFonts w:ascii="Times New Roman" w:hAnsi="Times New Roman" w:cs="Times New Roman"/>
          <w:sz w:val="24"/>
        </w:rPr>
        <w:fldChar w:fldCharType="end"/>
      </w:r>
    </w:p>
    <w:p w14:paraId="6E90E022" w14:textId="77777777" w:rsidR="0080408B" w:rsidRDefault="0080408B" w:rsidP="007C2D73">
      <w:pPr>
        <w:ind w:left="426" w:right="288"/>
        <w:jc w:val="both"/>
        <w:rPr>
          <w:rFonts w:ascii="Times New Roman" w:hAnsi="Times New Roman" w:cs="Times New Roman"/>
          <w:b/>
          <w:sz w:val="24"/>
          <w:szCs w:val="24"/>
        </w:rPr>
      </w:pPr>
    </w:p>
    <w:p w14:paraId="234CE622" w14:textId="5825745A" w:rsidR="006158E4" w:rsidRPr="006158E4" w:rsidRDefault="006158E4" w:rsidP="006158E4">
      <w:pPr>
        <w:ind w:left="993" w:right="288" w:hanging="567"/>
        <w:jc w:val="both"/>
        <w:rPr>
          <w:rFonts w:ascii="Times New Roman" w:hAnsi="Times New Roman" w:cs="Times New Roman"/>
          <w:b/>
          <w:sz w:val="32"/>
          <w:szCs w:val="24"/>
        </w:rPr>
      </w:pPr>
    </w:p>
    <w:p w14:paraId="461395A8" w14:textId="77777777" w:rsidR="00E21549" w:rsidRDefault="00E21549" w:rsidP="00C75340">
      <w:pPr>
        <w:ind w:left="1134" w:right="288" w:hanging="708"/>
        <w:jc w:val="both"/>
        <w:rPr>
          <w:rFonts w:ascii="Times New Roman" w:hAnsi="Times New Roman" w:cs="Times New Roman"/>
          <w:b/>
          <w:sz w:val="24"/>
          <w:szCs w:val="24"/>
        </w:rPr>
      </w:pPr>
    </w:p>
    <w:sectPr w:rsidR="00E21549" w:rsidSect="00406E74">
      <w:headerReference w:type="default" r:id="rId11"/>
      <w:footerReference w:type="default" r:id="rId12"/>
      <w:headerReference w:type="first" r:id="rId13"/>
      <w:footerReference w:type="first" r:id="rId14"/>
      <w:pgSz w:w="12240" w:h="15840"/>
      <w:pgMar w:top="1440" w:right="1440" w:bottom="1440" w:left="1440" w:header="720" w:footer="720" w:gutter="0"/>
      <w:pgNumType w:start="26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3E9F7" w14:textId="77777777" w:rsidR="00A52F65" w:rsidRDefault="00A52F65" w:rsidP="00136866">
      <w:r>
        <w:separator/>
      </w:r>
    </w:p>
  </w:endnote>
  <w:endnote w:type="continuationSeparator" w:id="0">
    <w:p w14:paraId="5C6FF5F7" w14:textId="77777777" w:rsidR="00A52F65" w:rsidRDefault="00A52F65" w:rsidP="00136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dvTimes-b">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1A4DB" w14:textId="6088404A" w:rsidR="00A810D0" w:rsidRPr="004B73E3" w:rsidRDefault="00A52F65" w:rsidP="004B73E3">
    <w:pPr>
      <w:pStyle w:val="Footer"/>
      <w:jc w:val="center"/>
      <w:rPr>
        <w:rFonts w:ascii="Times New Roman" w:hAnsi="Times New Roman" w:cs="Times New Roman"/>
        <w:sz w:val="24"/>
        <w:szCs w:val="24"/>
      </w:rPr>
    </w:pPr>
    <w:sdt>
      <w:sdtPr>
        <w:id w:val="-1442683496"/>
        <w:docPartObj>
          <w:docPartGallery w:val="Page Numbers (Bottom of Page)"/>
          <w:docPartUnique/>
        </w:docPartObj>
      </w:sdtPr>
      <w:sdtEndPr>
        <w:rPr>
          <w:rFonts w:ascii="Times New Roman" w:hAnsi="Times New Roman" w:cs="Times New Roman"/>
          <w:noProof/>
          <w:sz w:val="24"/>
          <w:szCs w:val="24"/>
        </w:rPr>
      </w:sdtEndPr>
      <w:sdtContent>
        <w:r w:rsidR="00A810D0" w:rsidRPr="00BE7EA7">
          <w:rPr>
            <w:rFonts w:ascii="Times New Roman" w:hAnsi="Times New Roman" w:cs="Times New Roman"/>
            <w:sz w:val="24"/>
            <w:szCs w:val="24"/>
          </w:rPr>
          <w:fldChar w:fldCharType="begin"/>
        </w:r>
        <w:r w:rsidR="00A810D0" w:rsidRPr="00BE7EA7">
          <w:rPr>
            <w:rFonts w:ascii="Times New Roman" w:hAnsi="Times New Roman" w:cs="Times New Roman"/>
            <w:sz w:val="24"/>
            <w:szCs w:val="24"/>
          </w:rPr>
          <w:instrText xml:space="preserve"> PAGE   \* MERGEFORMAT </w:instrText>
        </w:r>
        <w:r w:rsidR="00A810D0" w:rsidRPr="00BE7EA7">
          <w:rPr>
            <w:rFonts w:ascii="Times New Roman" w:hAnsi="Times New Roman" w:cs="Times New Roman"/>
            <w:sz w:val="24"/>
            <w:szCs w:val="24"/>
          </w:rPr>
          <w:fldChar w:fldCharType="separate"/>
        </w:r>
        <w:r w:rsidR="00A810D0">
          <w:rPr>
            <w:rFonts w:ascii="Times New Roman" w:hAnsi="Times New Roman" w:cs="Times New Roman"/>
            <w:noProof/>
            <w:sz w:val="24"/>
            <w:szCs w:val="24"/>
          </w:rPr>
          <w:t>10</w:t>
        </w:r>
        <w:r w:rsidR="00A810D0" w:rsidRPr="00BE7EA7">
          <w:rPr>
            <w:rFonts w:ascii="Times New Roman" w:hAnsi="Times New Roman" w:cs="Times New Roman"/>
            <w:noProof/>
            <w:sz w:val="24"/>
            <w:szCs w:val="24"/>
          </w:rPr>
          <w:fldChar w:fldCharType="end"/>
        </w:r>
      </w:sdtContent>
    </w:sdt>
  </w:p>
  <w:p w14:paraId="4C57A4A2" w14:textId="77777777" w:rsidR="00A810D0" w:rsidRDefault="00A810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EDD53" w14:textId="5791F230" w:rsidR="00A810D0" w:rsidRPr="00024A5B" w:rsidRDefault="006C773A" w:rsidP="00BE7EA7">
    <w:pPr>
      <w:pStyle w:val="Footer"/>
      <w:jc w:val="center"/>
      <w:rPr>
        <w:rFonts w:ascii="Times New Roman" w:hAnsi="Times New Roman" w:cs="Times New Roman"/>
        <w:sz w:val="24"/>
        <w:szCs w:val="24"/>
        <w:lang w:val="en-GB"/>
      </w:rPr>
    </w:pPr>
    <w:r>
      <w:rPr>
        <w:rFonts w:ascii="Times New Roman" w:hAnsi="Times New Roman" w:cs="Times New Roman"/>
        <w:sz w:val="24"/>
        <w:szCs w:val="24"/>
        <w:lang w:val="en-GB"/>
      </w:rPr>
      <w:t>2</w:t>
    </w:r>
    <w:r w:rsidR="00406E74">
      <w:rPr>
        <w:rFonts w:ascii="Times New Roman" w:hAnsi="Times New Roman" w:cs="Times New Roman"/>
        <w:sz w:val="24"/>
        <w:szCs w:val="24"/>
        <w:lang w:val="en-GB"/>
      </w:rPr>
      <w:t>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55DC3" w14:textId="77777777" w:rsidR="00A52F65" w:rsidRDefault="00A52F65" w:rsidP="00136866">
      <w:r>
        <w:separator/>
      </w:r>
    </w:p>
  </w:footnote>
  <w:footnote w:type="continuationSeparator" w:id="0">
    <w:p w14:paraId="69A3941F" w14:textId="77777777" w:rsidR="00A52F65" w:rsidRDefault="00A52F65" w:rsidP="00136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D9F77" w14:textId="0647334D" w:rsidR="00A810D0" w:rsidRDefault="00A810D0" w:rsidP="004B73E3">
    <w:pPr>
      <w:pStyle w:val="Heade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782061C5" wp14:editId="5A8F81CA">
              <wp:simplePos x="0" y="0"/>
              <wp:positionH relativeFrom="column">
                <wp:posOffset>323850</wp:posOffset>
              </wp:positionH>
              <wp:positionV relativeFrom="paragraph">
                <wp:posOffset>-300355</wp:posOffset>
              </wp:positionV>
              <wp:extent cx="5400040" cy="493395"/>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93395"/>
                      </a:xfrm>
                      <a:prstGeom prst="rect">
                        <a:avLst/>
                      </a:prstGeom>
                      <a:noFill/>
                      <a:ln>
                        <a:noFill/>
                      </a:ln>
                      <a:effectLst/>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19050" algn="in">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73C44704" w14:textId="77777777" w:rsidR="00BB1DDF" w:rsidRDefault="00BB1DDF" w:rsidP="00BE7EA7">
                          <w:pPr>
                            <w:widowControl w:val="0"/>
                            <w:rPr>
                              <w:rFonts w:ascii="Times New Roman" w:hAnsi="Times New Roman" w:cs="Times New Roman"/>
                              <w:i/>
                              <w:iCs/>
                              <w14:ligatures w14:val="none"/>
                            </w:rPr>
                          </w:pPr>
                          <w:proofErr w:type="spellStart"/>
                          <w:r w:rsidRPr="00BB1DDF">
                            <w:rPr>
                              <w:rFonts w:ascii="Times New Roman" w:hAnsi="Times New Roman" w:cs="Times New Roman"/>
                              <w:i/>
                              <w:iCs/>
                              <w14:ligatures w14:val="none"/>
                            </w:rPr>
                            <w:t>Dewi</w:t>
                          </w:r>
                          <w:proofErr w:type="spellEnd"/>
                          <w:r w:rsidRPr="00BB1DDF">
                            <w:rPr>
                              <w:rFonts w:ascii="Times New Roman" w:hAnsi="Times New Roman" w:cs="Times New Roman"/>
                              <w:i/>
                              <w:iCs/>
                              <w14:ligatures w14:val="none"/>
                            </w:rPr>
                            <w:t xml:space="preserve">, M., </w:t>
                          </w:r>
                          <w:proofErr w:type="spellStart"/>
                          <w:r w:rsidRPr="00BB1DDF">
                            <w:rPr>
                              <w:rFonts w:ascii="Times New Roman" w:hAnsi="Times New Roman" w:cs="Times New Roman"/>
                              <w:i/>
                              <w:iCs/>
                              <w14:ligatures w14:val="none"/>
                            </w:rPr>
                            <w:t>Buchdadi</w:t>
                          </w:r>
                          <w:proofErr w:type="spellEnd"/>
                          <w:r w:rsidRPr="00BB1DDF">
                            <w:rPr>
                              <w:rFonts w:ascii="Times New Roman" w:hAnsi="Times New Roman" w:cs="Times New Roman"/>
                              <w:i/>
                              <w:iCs/>
                              <w14:ligatures w14:val="none"/>
                            </w:rPr>
                            <w:t xml:space="preserve">, A.D., &amp; </w:t>
                          </w:r>
                          <w:proofErr w:type="spellStart"/>
                          <w:r w:rsidRPr="00BB1DDF">
                            <w:rPr>
                              <w:rFonts w:ascii="Times New Roman" w:hAnsi="Times New Roman" w:cs="Times New Roman"/>
                              <w:i/>
                              <w:iCs/>
                              <w14:ligatures w14:val="none"/>
                            </w:rPr>
                            <w:t>Wastuti</w:t>
                          </w:r>
                          <w:proofErr w:type="spellEnd"/>
                          <w:r w:rsidRPr="00BB1DDF">
                            <w:rPr>
                              <w:rFonts w:ascii="Times New Roman" w:hAnsi="Times New Roman" w:cs="Times New Roman"/>
                              <w:i/>
                              <w:iCs/>
                              <w14:ligatures w14:val="none"/>
                            </w:rPr>
                            <w:t xml:space="preserve">, W. (2025). </w:t>
                          </w:r>
                        </w:p>
                        <w:p w14:paraId="4753FF1A" w14:textId="78CA3A4C" w:rsidR="00A810D0" w:rsidRDefault="00A810D0" w:rsidP="00BE7EA7">
                          <w:pPr>
                            <w:widowControl w:val="0"/>
                            <w:rPr>
                              <w:rFonts w:ascii="Times New Roman" w:hAnsi="Times New Roman" w:cs="Times New Roman"/>
                              <w:i/>
                              <w:iCs/>
                              <w14:ligatures w14:val="none"/>
                            </w:rPr>
                          </w:pPr>
                          <w:r>
                            <w:rPr>
                              <w:rFonts w:ascii="Times New Roman" w:hAnsi="Times New Roman" w:cs="Times New Roman"/>
                              <w:i/>
                              <w:iCs/>
                              <w14:ligatures w14:val="none"/>
                            </w:rPr>
                            <w:t xml:space="preserve">Journal of Business and </w:t>
                          </w:r>
                          <w:proofErr w:type="spellStart"/>
                          <w:r>
                            <w:rPr>
                              <w:rFonts w:ascii="Times New Roman" w:hAnsi="Times New Roman" w:cs="Times New Roman"/>
                              <w:i/>
                              <w:iCs/>
                              <w14:ligatures w14:val="none"/>
                            </w:rPr>
                            <w:t>Behavioural</w:t>
                          </w:r>
                          <w:proofErr w:type="spellEnd"/>
                          <w:r>
                            <w:rPr>
                              <w:rFonts w:ascii="Times New Roman" w:hAnsi="Times New Roman" w:cs="Times New Roman"/>
                              <w:i/>
                              <w:iCs/>
                              <w14:ligatures w14:val="none"/>
                            </w:rPr>
                            <w:t xml:space="preserve"> Entrepreneurship, 9(</w:t>
                          </w:r>
                          <w:r w:rsidR="006C773A">
                            <w:rPr>
                              <w:rFonts w:ascii="Times New Roman" w:hAnsi="Times New Roman" w:cs="Times New Roman"/>
                              <w:i/>
                              <w:iCs/>
                              <w14:ligatures w14:val="none"/>
                            </w:rPr>
                            <w:t>2</w:t>
                          </w:r>
                          <w:r>
                            <w:rPr>
                              <w:rFonts w:ascii="Times New Roman" w:hAnsi="Times New Roman" w:cs="Times New Roman"/>
                              <w:i/>
                              <w:iCs/>
                              <w14:ligatures w14:val="none"/>
                            </w:rPr>
                            <w:t xml:space="preserve">), </w:t>
                          </w:r>
                          <w:r w:rsidR="007F07FB" w:rsidRPr="007F07FB">
                            <w:rPr>
                              <w:rFonts w:ascii="Times New Roman" w:hAnsi="Times New Roman" w:cs="Times New Roman"/>
                              <w:i/>
                              <w:iCs/>
                              <w14:ligatures w14:val="none"/>
                            </w:rPr>
                            <w:t>2</w:t>
                          </w:r>
                          <w:r w:rsidR="00BB1DDF">
                            <w:rPr>
                              <w:rFonts w:ascii="Times New Roman" w:hAnsi="Times New Roman" w:cs="Times New Roman"/>
                              <w:i/>
                              <w:iCs/>
                              <w14:ligatures w14:val="none"/>
                            </w:rPr>
                            <w:t>69-280</w:t>
                          </w:r>
                        </w:p>
                        <w:p w14:paraId="48426581" w14:textId="77777777" w:rsidR="000436EF" w:rsidRDefault="000436EF" w:rsidP="00BE7EA7">
                          <w:pPr>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061C5" id="_x0000_t202" coordsize="21600,21600" o:spt="202" path="m,l,21600r21600,l21600,xe">
              <v:stroke joinstyle="miter"/>
              <v:path gradientshapeok="t" o:connecttype="rect"/>
            </v:shapetype>
            <v:shape id="Text Box 6" o:spid="_x0000_s1026" type="#_x0000_t202" style="position:absolute;margin-left:25.5pt;margin-top:-23.65pt;width:425.2pt;height:38.8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ycj8wIAAIUGAAAOAAAAZHJzL2Uyb0RvYy54bWysVduOmzAQfa/Uf7B4ZzEJIYCWVAkJVaXt&#10;RdrtBzhgglWwqe2EbKv+e8cmybLZPlTdEska2+OZc+aW23fHtkEHKhUTPHX8G+wgygtRMr5Lna8P&#10;uRs5SGnCS9IITlPnkSrn3eLtm9u+S+hE1KIpqURghKuk71Kn1rpLPE8VNW2JuhEd5XBZCdkSDVu5&#10;80pJerDeNt4E49DrhSw7KQqqFJyuh0tnYe1XFS3056pSVKMmdQCbtqu069as3uKWJDtJupoVJxjk&#10;H1C0hHFwejG1JpqgvWQvTLWskEKJSt8UovVEVbGCWg7AxsdXbO5r0lHLBYKjukuY1P8zW3w6fJGI&#10;lakTOoiTFlL0QI8arcQRhSY6facSULrvQE0f4RiybJmq7k4U3xTiIqsJ39GllKKvKSkBnW9eeqOn&#10;gx1ljGz7j6IEN2SvhTV0rGRrQgfBQGAdsvR4yYyBUsDhLMAYB3BVwF0QT6fxzLogyfl1J5V+T0WL&#10;jJA6EjJvrZPDndIGDUnOKsYZFzlrGpv9hj87AMXhhNryGV6TBJCAaDQNJpvanzGON9EmCtxgEm7c&#10;AK/X7jLPAjfM/flsPV1n2dr/ZVD4QVKzsqTcOD2XmR/8XRpPBT8UyKXQlGhYacwZSErutlkj0YFA&#10;mUfY/E7hGal5z2HYkACXK0r+JMCrSezmYTR3gzyYufEcRy7241Uc4iAO1vlzSneM09dTQj1UTYxn&#10;kGLS7GCUnPpphP+KZm6/lzRJ0jINM6VhrYmF+YwSSUxtbnhpZU1YM8ijqBgmf47KMp/heTCN3Pl8&#10;NnWD6Qa7qyjP3GXmh+F8s8pWm6tEb2zxqNcHxqZnVIkjvCcfT5ChdM9lapvP9NvQefq4PQJx05Fb&#10;UT5CG0oBXQLRhtkNQi3kDwf1MAdTR33fE0kd1Hzg0MrTcDaH0aDHGznebMcbwgswlToa0mjFTA/D&#10;dt9JtqvB0zA8uFhC+1fMduYTKqBiNjDrLKnTXDbDdLy3Wk//HovfAAAA//8DAFBLAwQUAAYACAAA&#10;ACEAcSOW3eEAAAAJAQAADwAAAGRycy9kb3ducmV2LnhtbEyPT0vDQBTE74LfYXmCt3Y3bbQa81JE&#10;kELBQ6u09bbJPpPg/gm72zb66V1PehxmmPlNuRyNZifyoXcWIZsKYGQbp3rbIry9Pk/ugIUorZLa&#10;WUL4ogDL6vKilIVyZ7uh0za2LJXYUEiELsah4Dw0HRkZpm4gm7wP542MSfqWKy/PqdxoPhPilhvZ&#10;27TQyYGeOmo+t0eD8LLKdvvDQX+797Ve5bN1HcadR7y+Gh8fgEUa418YfvETOlSJqXZHqwLTCDdZ&#10;uhIRJvliDiwF7kWWA6sR5iIHXpX8/4PqBwAA//8DAFBLAQItABQABgAIAAAAIQC2gziS/gAAAOEB&#10;AAATAAAAAAAAAAAAAAAAAAAAAABbQ29udGVudF9UeXBlc10ueG1sUEsBAi0AFAAGAAgAAAAhADj9&#10;If/WAAAAlAEAAAsAAAAAAAAAAAAAAAAALwEAAF9yZWxzLy5yZWxzUEsBAi0AFAAGAAgAAAAhALq/&#10;JyPzAgAAhQYAAA4AAAAAAAAAAAAAAAAALgIAAGRycy9lMm9Eb2MueG1sUEsBAi0AFAAGAAgAAAAh&#10;AHEjlt3hAAAACQEAAA8AAAAAAAAAAAAAAAAATQUAAGRycy9kb3ducmV2LnhtbFBLBQYAAAAABAAE&#10;APMAAABbBgAAAAA=&#10;" filled="f" fillcolor="gray" stroked="f" strokecolor="white" strokeweight="1.5pt" insetpen="t">
              <v:textbox inset="2.88pt,2.88pt,2.88pt,2.88pt">
                <w:txbxContent>
                  <w:p w14:paraId="73C44704" w14:textId="77777777" w:rsidR="00BB1DDF" w:rsidRDefault="00BB1DDF" w:rsidP="00BE7EA7">
                    <w:pPr>
                      <w:widowControl w:val="0"/>
                      <w:rPr>
                        <w:rFonts w:ascii="Times New Roman" w:hAnsi="Times New Roman" w:cs="Times New Roman"/>
                        <w:i/>
                        <w:iCs/>
                        <w14:ligatures w14:val="none"/>
                      </w:rPr>
                    </w:pPr>
                    <w:proofErr w:type="spellStart"/>
                    <w:r w:rsidRPr="00BB1DDF">
                      <w:rPr>
                        <w:rFonts w:ascii="Times New Roman" w:hAnsi="Times New Roman" w:cs="Times New Roman"/>
                        <w:i/>
                        <w:iCs/>
                        <w14:ligatures w14:val="none"/>
                      </w:rPr>
                      <w:t>Dewi</w:t>
                    </w:r>
                    <w:proofErr w:type="spellEnd"/>
                    <w:r w:rsidRPr="00BB1DDF">
                      <w:rPr>
                        <w:rFonts w:ascii="Times New Roman" w:hAnsi="Times New Roman" w:cs="Times New Roman"/>
                        <w:i/>
                        <w:iCs/>
                        <w14:ligatures w14:val="none"/>
                      </w:rPr>
                      <w:t xml:space="preserve">, M., </w:t>
                    </w:r>
                    <w:proofErr w:type="spellStart"/>
                    <w:r w:rsidRPr="00BB1DDF">
                      <w:rPr>
                        <w:rFonts w:ascii="Times New Roman" w:hAnsi="Times New Roman" w:cs="Times New Roman"/>
                        <w:i/>
                        <w:iCs/>
                        <w14:ligatures w14:val="none"/>
                      </w:rPr>
                      <w:t>Buchdadi</w:t>
                    </w:r>
                    <w:proofErr w:type="spellEnd"/>
                    <w:r w:rsidRPr="00BB1DDF">
                      <w:rPr>
                        <w:rFonts w:ascii="Times New Roman" w:hAnsi="Times New Roman" w:cs="Times New Roman"/>
                        <w:i/>
                        <w:iCs/>
                        <w14:ligatures w14:val="none"/>
                      </w:rPr>
                      <w:t xml:space="preserve">, A.D., &amp; </w:t>
                    </w:r>
                    <w:proofErr w:type="spellStart"/>
                    <w:r w:rsidRPr="00BB1DDF">
                      <w:rPr>
                        <w:rFonts w:ascii="Times New Roman" w:hAnsi="Times New Roman" w:cs="Times New Roman"/>
                        <w:i/>
                        <w:iCs/>
                        <w14:ligatures w14:val="none"/>
                      </w:rPr>
                      <w:t>Wastuti</w:t>
                    </w:r>
                    <w:proofErr w:type="spellEnd"/>
                    <w:r w:rsidRPr="00BB1DDF">
                      <w:rPr>
                        <w:rFonts w:ascii="Times New Roman" w:hAnsi="Times New Roman" w:cs="Times New Roman"/>
                        <w:i/>
                        <w:iCs/>
                        <w14:ligatures w14:val="none"/>
                      </w:rPr>
                      <w:t xml:space="preserve">, W. (2025). </w:t>
                    </w:r>
                  </w:p>
                  <w:p w14:paraId="4753FF1A" w14:textId="78CA3A4C" w:rsidR="00A810D0" w:rsidRDefault="00A810D0" w:rsidP="00BE7EA7">
                    <w:pPr>
                      <w:widowControl w:val="0"/>
                      <w:rPr>
                        <w:rFonts w:ascii="Times New Roman" w:hAnsi="Times New Roman" w:cs="Times New Roman"/>
                        <w:i/>
                        <w:iCs/>
                        <w14:ligatures w14:val="none"/>
                      </w:rPr>
                    </w:pPr>
                    <w:r>
                      <w:rPr>
                        <w:rFonts w:ascii="Times New Roman" w:hAnsi="Times New Roman" w:cs="Times New Roman"/>
                        <w:i/>
                        <w:iCs/>
                        <w14:ligatures w14:val="none"/>
                      </w:rPr>
                      <w:t xml:space="preserve">Journal of Business and </w:t>
                    </w:r>
                    <w:proofErr w:type="spellStart"/>
                    <w:r>
                      <w:rPr>
                        <w:rFonts w:ascii="Times New Roman" w:hAnsi="Times New Roman" w:cs="Times New Roman"/>
                        <w:i/>
                        <w:iCs/>
                        <w14:ligatures w14:val="none"/>
                      </w:rPr>
                      <w:t>Behavioural</w:t>
                    </w:r>
                    <w:proofErr w:type="spellEnd"/>
                    <w:r>
                      <w:rPr>
                        <w:rFonts w:ascii="Times New Roman" w:hAnsi="Times New Roman" w:cs="Times New Roman"/>
                        <w:i/>
                        <w:iCs/>
                        <w14:ligatures w14:val="none"/>
                      </w:rPr>
                      <w:t xml:space="preserve"> Entrepreneurship, 9(</w:t>
                    </w:r>
                    <w:r w:rsidR="006C773A">
                      <w:rPr>
                        <w:rFonts w:ascii="Times New Roman" w:hAnsi="Times New Roman" w:cs="Times New Roman"/>
                        <w:i/>
                        <w:iCs/>
                        <w14:ligatures w14:val="none"/>
                      </w:rPr>
                      <w:t>2</w:t>
                    </w:r>
                    <w:r>
                      <w:rPr>
                        <w:rFonts w:ascii="Times New Roman" w:hAnsi="Times New Roman" w:cs="Times New Roman"/>
                        <w:i/>
                        <w:iCs/>
                        <w14:ligatures w14:val="none"/>
                      </w:rPr>
                      <w:t xml:space="preserve">), </w:t>
                    </w:r>
                    <w:r w:rsidR="007F07FB" w:rsidRPr="007F07FB">
                      <w:rPr>
                        <w:rFonts w:ascii="Times New Roman" w:hAnsi="Times New Roman" w:cs="Times New Roman"/>
                        <w:i/>
                        <w:iCs/>
                        <w14:ligatures w14:val="none"/>
                      </w:rPr>
                      <w:t>2</w:t>
                    </w:r>
                    <w:r w:rsidR="00BB1DDF">
                      <w:rPr>
                        <w:rFonts w:ascii="Times New Roman" w:hAnsi="Times New Roman" w:cs="Times New Roman"/>
                        <w:i/>
                        <w:iCs/>
                        <w14:ligatures w14:val="none"/>
                      </w:rPr>
                      <w:t>69-280</w:t>
                    </w:r>
                  </w:p>
                  <w:p w14:paraId="48426581" w14:textId="77777777" w:rsidR="000436EF" w:rsidRDefault="000436EF" w:rsidP="00BE7EA7">
                    <w:pPr>
                      <w:widowControl w:val="0"/>
                      <w:rPr>
                        <w14:ligatures w14:val="none"/>
                      </w:rPr>
                    </w:pP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63360" behindDoc="0" locked="0" layoutInCell="1" allowOverlap="1" wp14:anchorId="282D3238" wp14:editId="68EC6436">
              <wp:simplePos x="0" y="0"/>
              <wp:positionH relativeFrom="column">
                <wp:posOffset>361950</wp:posOffset>
              </wp:positionH>
              <wp:positionV relativeFrom="paragraph">
                <wp:posOffset>247650</wp:posOffset>
              </wp:positionV>
              <wp:extent cx="52292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522922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035EA24" id="Straight Connector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5pt,19.5pt" to="440.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ZIuwEAAL4DAAAOAAAAZHJzL2Uyb0RvYy54bWysU8tu2zAQvBfIPxC815JVpEgFyzk4aC5F&#10;azTNBzDU0iLKF5asJf99l5StFEmRQ9ELxX3M7M5ytbmdrGFHwKi96/h6VXMGTvpeu0PHH398fn/D&#10;WUzC9cJ4Bx0/QeS326t3mzG00PjBmx6QEYmL7Rg6PqQU2qqKcgAr4soHcBRUHq1IZOKh6lGMxG5N&#10;1dT1x2r02Af0EmIk790c5NvCrxTI9E2pCImZjlNvqZxYzqd8VtuNaA8owqDluQ3xD11YoR0VXaju&#10;RBLsF+pXVFZL9NGrtJLeVl4pLaFoIDXr+oWah0EEKFpoODEsY4r/j1Z+Pe6R6b7j9FBOWHqih4RC&#10;H4bEdt45GqBHdpPnNIbYUvrO7fFsxbDHLHpSaPOX5LCpzPa0zBamxCQ5r5vmU9NccyYvseoZGDCm&#10;e/CW5UvHjXZZtmjF8UtMVIxSLynZbVz25X7mDsotnQzMwe+gSBHV/FBIyi7BziA7CtqC/uc6qyFK&#10;4ygzQ5Q2ZgHVb4POuRkGZb8WYPM2cMkuFb1LC9Bq5/Fv4DRdWlVz/kX1rDXLfvL9qbxHGQctSVF2&#10;Xui8hX/aBf78221/AwAA//8DAFBLAwQUAAYACAAAACEAJ+bro94AAAAIAQAADwAAAGRycy9kb3du&#10;cmV2LnhtbEyPT0vEQAzF74LfYYjgRdypf+rW2ukigocKCu6K52wn21Y7mdKZ7dZvb8SDnkLyHi+/&#10;V6xm16uJxtB5NnCxSEAR19523Bh42zyeZ6BCRLbYeyYDXxRgVR4fFZhbf+BXmtaxURLCIUcDbYxD&#10;rnWoW3IYFn4gFm3nR4dR1rHRdsSDhLteXybJjXbYsXxocaCHlurP9d4Z+KjeqyY9W3a7l+v0CTdT&#10;+sxTZczpyXx/ByrSHP/M8IMv6FAK09bv2QbVG0iXUiUauLqVKXqWJSmo7e9Bl4X+X6D8BgAA//8D&#10;AFBLAQItABQABgAIAAAAIQC2gziS/gAAAOEBAAATAAAAAAAAAAAAAAAAAAAAAABbQ29udGVudF9U&#10;eXBlc10ueG1sUEsBAi0AFAAGAAgAAAAhADj9If/WAAAAlAEAAAsAAAAAAAAAAAAAAAAALwEAAF9y&#10;ZWxzLy5yZWxzUEsBAi0AFAAGAAgAAAAhANx4tki7AQAAvgMAAA4AAAAAAAAAAAAAAAAALgIAAGRy&#10;cy9lMm9Eb2MueG1sUEsBAi0AFAAGAAgAAAAhACfm66PeAAAACAEAAA8AAAAAAAAAAAAAAAAAFQQA&#10;AGRycy9kb3ducmV2LnhtbFBLBQYAAAAABAAEAPMAAAAgBQAAAAA=&#10;" strokecolor="black [3200]" strokeweight="1.5pt">
              <v:stroke joinstyle="miter"/>
            </v:lin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61312" behindDoc="0" locked="0" layoutInCell="1" allowOverlap="1" wp14:anchorId="4FCD4B9A" wp14:editId="7E866734">
              <wp:simplePos x="0" y="0"/>
              <wp:positionH relativeFrom="column">
                <wp:posOffset>361949</wp:posOffset>
              </wp:positionH>
              <wp:positionV relativeFrom="paragraph">
                <wp:posOffset>190500</wp:posOffset>
              </wp:positionV>
              <wp:extent cx="52292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229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273E00"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8.5pt,15pt" to="44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kKtgEAALcDAAAOAAAAZHJzL2Uyb0RvYy54bWysU8GO0zAQvSPxD5bvNG2kZSFquoeu4IKg&#10;YtkP8DrjxsL2WGPTtH/P2G2zCBBCiIvjsd97M288Wd8dvRMHoGQx9HK1WEoBQeNgw76Xj1/evXoj&#10;RcoqDMphgF6eIMm7zcsX6yl20OKIbgASLBJSN8VejjnHrmmSHsGrtMAIgS8NkleZQ9o3A6mJ1b1r&#10;2uXydTMhDZFQQ0p8en++lJuqbwzo/MmYBFm4XnJtua5U16eyNpu16vak4mj1pQz1D1V4ZQMnnaXu&#10;VVbiG9lfpLzVhAlNXmj0DRpjNVQP7Ga1/MnNw6giVC/cnBTnNqX/J6s/HnYk7NDLWymC8vxED5mU&#10;3Y9ZbDEEbiCSuC19mmLqGL4NO7pEKe6omD4a8uXLdsSx9vY09xaOWWg+vGnbt217I4W+3jXPxEgp&#10;vwf0omx66WwotlWnDh9S5mQMvUI4KIWcU9ddPjkoYBc+g2ErnGxV2XWIYOtIHBQ///B1VWywVkUW&#10;irHOzaTln0kXbKFBHay/Jc7omhFDnoneBqTfZc3Ha6nmjL+6Pnsttp9wONWHqO3g6ajOLpNcxu/H&#10;uNKf/7fNdwAAAP//AwBQSwMEFAAGAAgAAAAhAJUvMXXdAAAACAEAAA8AAABkcnMvZG93bnJldi54&#10;bWxMj8FOwzAQRO9I/IO1SNyoTVFLFOJUVSWEuCCawt2NXSdgryPbScPfs4gDnFa7M5p9U21m79hk&#10;YuoDSrhdCGAG26B7tBLeDo83BbCUFWrlAhoJXybBpr68qFSpwxn3ZmqyZRSCqVQSupyHkvPUdsar&#10;tAiDQdJOIXqVaY2W66jOFO4dXwqx5l71SB86NZhdZ9rPZvQS3HOc3u3ObtP4tF83H6+n5cthkvL6&#10;at4+AMtmzn9m+MEndKiJ6RhG1Ik5Cat7qpIl3AmapBeFWAE7/h54XfH/BepvAAAA//8DAFBLAQIt&#10;ABQABgAIAAAAIQC2gziS/gAAAOEBAAATAAAAAAAAAAAAAAAAAAAAAABbQ29udGVudF9UeXBlc10u&#10;eG1sUEsBAi0AFAAGAAgAAAAhADj9If/WAAAAlAEAAAsAAAAAAAAAAAAAAAAALwEAAF9yZWxzLy5y&#10;ZWxzUEsBAi0AFAAGAAgAAAAhAIxQeQq2AQAAtwMAAA4AAAAAAAAAAAAAAAAALgIAAGRycy9lMm9E&#10;b2MueG1sUEsBAi0AFAAGAAgAAAAhAJUvMXXdAAAACAEAAA8AAAAAAAAAAAAAAAAAEAQAAGRycy9k&#10;b3ducmV2LnhtbFBLBQYAAAAABAAEAPMAAAAaBQAAAAA=&#10;" strokecolor="black [3200]" strokeweight=".5pt">
              <v:stroke joinstyle="miter"/>
            </v:line>
          </w:pict>
        </mc:Fallback>
      </mc:AlternateContent>
    </w:r>
  </w:p>
  <w:p w14:paraId="5A401502" w14:textId="77777777" w:rsidR="00A810D0" w:rsidRDefault="00A810D0"/>
  <w:p w14:paraId="4200EA13" w14:textId="77777777" w:rsidR="00A810D0" w:rsidRDefault="00A810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D5D00" w14:textId="75A5B292" w:rsidR="00A810D0" w:rsidRDefault="00A810D0">
    <w:pPr>
      <w:pStyle w:val="Header"/>
    </w:pP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65408" behindDoc="0" locked="0" layoutInCell="1" allowOverlap="1" wp14:anchorId="70C0889E" wp14:editId="5439451D">
          <wp:simplePos x="0" y="0"/>
          <wp:positionH relativeFrom="column">
            <wp:posOffset>228600</wp:posOffset>
          </wp:positionH>
          <wp:positionV relativeFrom="paragraph">
            <wp:posOffset>-191770</wp:posOffset>
          </wp:positionV>
          <wp:extent cx="5400040" cy="472440"/>
          <wp:effectExtent l="0" t="0" r="0" b="3810"/>
          <wp:wrapNone/>
          <wp:docPr id="10" name="Picture 10" descr="pageHeaderLogoImage_en_U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HeaderLogoImage_en_US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4724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80FF3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1EC026B0"/>
    <w:lvl w:ilvl="0">
      <w:start w:val="1"/>
      <w:numFmt w:val="decimal"/>
      <w:pStyle w:val="ListNumber"/>
      <w:lvlText w:val="%1."/>
      <w:lvlJc w:val="left"/>
      <w:pPr>
        <w:tabs>
          <w:tab w:val="num" w:pos="360"/>
        </w:tabs>
        <w:ind w:left="360" w:hanging="360"/>
      </w:pPr>
    </w:lvl>
  </w:abstractNum>
  <w:abstractNum w:abstractNumId="2" w15:restartNumberingAfterBreak="0">
    <w:nsid w:val="03FF6B75"/>
    <w:multiLevelType w:val="hybridMultilevel"/>
    <w:tmpl w:val="57FE1C4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EF62D84"/>
    <w:multiLevelType w:val="hybridMultilevel"/>
    <w:tmpl w:val="DC309D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47A53DB"/>
    <w:multiLevelType w:val="hybridMultilevel"/>
    <w:tmpl w:val="7E5E43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66F52B8"/>
    <w:multiLevelType w:val="hybridMultilevel"/>
    <w:tmpl w:val="607830A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2ECB67A4"/>
    <w:multiLevelType w:val="hybridMultilevel"/>
    <w:tmpl w:val="89609DF2"/>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31C102F9"/>
    <w:multiLevelType w:val="hybridMultilevel"/>
    <w:tmpl w:val="607830A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335A53E3"/>
    <w:multiLevelType w:val="hybridMultilevel"/>
    <w:tmpl w:val="CBB0BF84"/>
    <w:lvl w:ilvl="0" w:tplc="04090001">
      <w:start w:val="1"/>
      <w:numFmt w:val="bullet"/>
      <w:lvlText w:val=""/>
      <w:lvlJc w:val="left"/>
      <w:pPr>
        <w:ind w:left="1146" w:hanging="360"/>
      </w:pPr>
      <w:rPr>
        <w:rFonts w:ascii="Symbol" w:hAnsi="Symbol"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3837596C"/>
    <w:multiLevelType w:val="hybridMultilevel"/>
    <w:tmpl w:val="B5DA16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3AA1025B"/>
    <w:multiLevelType w:val="hybridMultilevel"/>
    <w:tmpl w:val="14EAD6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40F82BFA"/>
    <w:multiLevelType w:val="hybridMultilevel"/>
    <w:tmpl w:val="A2EA964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42C71B29"/>
    <w:multiLevelType w:val="hybridMultilevel"/>
    <w:tmpl w:val="73FC0B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BAE1778"/>
    <w:multiLevelType w:val="hybridMultilevel"/>
    <w:tmpl w:val="15F2489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15:restartNumberingAfterBreak="0">
    <w:nsid w:val="4CBF785D"/>
    <w:multiLevelType w:val="hybridMultilevel"/>
    <w:tmpl w:val="C68EE4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50A51920"/>
    <w:multiLevelType w:val="hybridMultilevel"/>
    <w:tmpl w:val="46C42548"/>
    <w:lvl w:ilvl="0" w:tplc="9FB6B3BA">
      <w:start w:val="1"/>
      <w:numFmt w:val="decimal"/>
      <w:lvlText w:val="%1."/>
      <w:lvlJc w:val="left"/>
      <w:pPr>
        <w:ind w:left="193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A832896"/>
    <w:multiLevelType w:val="hybridMultilevel"/>
    <w:tmpl w:val="5C4C3B8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5A890CF4"/>
    <w:multiLevelType w:val="hybridMultilevel"/>
    <w:tmpl w:val="516ACE76"/>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8" w15:restartNumberingAfterBreak="0">
    <w:nsid w:val="5CC77663"/>
    <w:multiLevelType w:val="hybridMultilevel"/>
    <w:tmpl w:val="2328FC58"/>
    <w:lvl w:ilvl="0" w:tplc="9FB6B3BA">
      <w:start w:val="1"/>
      <w:numFmt w:val="decimal"/>
      <w:lvlText w:val="%1."/>
      <w:lvlJc w:val="left"/>
      <w:pPr>
        <w:ind w:left="193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EB21EDB"/>
    <w:multiLevelType w:val="hybridMultilevel"/>
    <w:tmpl w:val="CC34670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5F994787"/>
    <w:multiLevelType w:val="hybridMultilevel"/>
    <w:tmpl w:val="8A204E9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71116C2E"/>
    <w:multiLevelType w:val="hybridMultilevel"/>
    <w:tmpl w:val="6E7E46C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7A794E30"/>
    <w:multiLevelType w:val="hybridMultilevel"/>
    <w:tmpl w:val="84AC381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7CAF2585"/>
    <w:multiLevelType w:val="hybridMultilevel"/>
    <w:tmpl w:val="46FA385A"/>
    <w:lvl w:ilvl="0" w:tplc="4FB2B1A6">
      <w:start w:val="1"/>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80AC2A">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34D870">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523F3E">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0AD2AE">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E5F66">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D0C17E">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2DCAA">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DABB42">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E3515F5"/>
    <w:multiLevelType w:val="hybridMultilevel"/>
    <w:tmpl w:val="29EEFB4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7EAC6936"/>
    <w:multiLevelType w:val="hybridMultilevel"/>
    <w:tmpl w:val="150A89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17"/>
  </w:num>
  <w:num w:numId="3">
    <w:abstractNumId w:val="25"/>
  </w:num>
  <w:num w:numId="4">
    <w:abstractNumId w:val="3"/>
  </w:num>
  <w:num w:numId="5">
    <w:abstractNumId w:val="18"/>
  </w:num>
  <w:num w:numId="6">
    <w:abstractNumId w:val="15"/>
  </w:num>
  <w:num w:numId="7">
    <w:abstractNumId w:val="4"/>
  </w:num>
  <w:num w:numId="8">
    <w:abstractNumId w:val="23"/>
  </w:num>
  <w:num w:numId="9">
    <w:abstractNumId w:val="11"/>
  </w:num>
  <w:num w:numId="10">
    <w:abstractNumId w:val="24"/>
  </w:num>
  <w:num w:numId="11">
    <w:abstractNumId w:val="21"/>
  </w:num>
  <w:num w:numId="12">
    <w:abstractNumId w:val="7"/>
  </w:num>
  <w:num w:numId="13">
    <w:abstractNumId w:val="2"/>
  </w:num>
  <w:num w:numId="14">
    <w:abstractNumId w:val="20"/>
  </w:num>
  <w:num w:numId="15">
    <w:abstractNumId w:val="8"/>
  </w:num>
  <w:num w:numId="16">
    <w:abstractNumId w:val="5"/>
  </w:num>
  <w:num w:numId="17">
    <w:abstractNumId w:val="0"/>
  </w:num>
  <w:num w:numId="18">
    <w:abstractNumId w:val="13"/>
  </w:num>
  <w:num w:numId="19">
    <w:abstractNumId w:val="22"/>
  </w:num>
  <w:num w:numId="20">
    <w:abstractNumId w:val="16"/>
  </w:num>
  <w:num w:numId="21">
    <w:abstractNumId w:val="19"/>
  </w:num>
  <w:num w:numId="22">
    <w:abstractNumId w:val="6"/>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866"/>
    <w:rsid w:val="000121F3"/>
    <w:rsid w:val="00024A5B"/>
    <w:rsid w:val="0003688B"/>
    <w:rsid w:val="000436EF"/>
    <w:rsid w:val="00043BC3"/>
    <w:rsid w:val="00045E6B"/>
    <w:rsid w:val="00045F5E"/>
    <w:rsid w:val="00050236"/>
    <w:rsid w:val="000613B7"/>
    <w:rsid w:val="00074013"/>
    <w:rsid w:val="00076CEA"/>
    <w:rsid w:val="00087F86"/>
    <w:rsid w:val="000C1852"/>
    <w:rsid w:val="000C27B1"/>
    <w:rsid w:val="000D0187"/>
    <w:rsid w:val="000D49C3"/>
    <w:rsid w:val="000E3D1D"/>
    <w:rsid w:val="000E44B8"/>
    <w:rsid w:val="000F364A"/>
    <w:rsid w:val="00116141"/>
    <w:rsid w:val="00136866"/>
    <w:rsid w:val="00152659"/>
    <w:rsid w:val="00161E4B"/>
    <w:rsid w:val="001A0131"/>
    <w:rsid w:val="001B7808"/>
    <w:rsid w:val="001C18A7"/>
    <w:rsid w:val="001D27B2"/>
    <w:rsid w:val="001E512D"/>
    <w:rsid w:val="001F27BD"/>
    <w:rsid w:val="001F2E78"/>
    <w:rsid w:val="00200804"/>
    <w:rsid w:val="002017A1"/>
    <w:rsid w:val="002201E9"/>
    <w:rsid w:val="002231E6"/>
    <w:rsid w:val="00224316"/>
    <w:rsid w:val="002342D4"/>
    <w:rsid w:val="00246664"/>
    <w:rsid w:val="002526EB"/>
    <w:rsid w:val="00270CD8"/>
    <w:rsid w:val="00274AF8"/>
    <w:rsid w:val="00281DB1"/>
    <w:rsid w:val="002B0C55"/>
    <w:rsid w:val="002D2AFF"/>
    <w:rsid w:val="002D41E3"/>
    <w:rsid w:val="002D6F81"/>
    <w:rsid w:val="002D7232"/>
    <w:rsid w:val="0030574C"/>
    <w:rsid w:val="00335483"/>
    <w:rsid w:val="0034733E"/>
    <w:rsid w:val="003602A8"/>
    <w:rsid w:val="00367213"/>
    <w:rsid w:val="003676BE"/>
    <w:rsid w:val="00375D67"/>
    <w:rsid w:val="00383447"/>
    <w:rsid w:val="003C524E"/>
    <w:rsid w:val="003E2F51"/>
    <w:rsid w:val="0040017F"/>
    <w:rsid w:val="00402D8C"/>
    <w:rsid w:val="00406E74"/>
    <w:rsid w:val="00423583"/>
    <w:rsid w:val="00435AFD"/>
    <w:rsid w:val="00436EF8"/>
    <w:rsid w:val="00444146"/>
    <w:rsid w:val="0046064F"/>
    <w:rsid w:val="004675C2"/>
    <w:rsid w:val="004852A0"/>
    <w:rsid w:val="004A040C"/>
    <w:rsid w:val="004A2A54"/>
    <w:rsid w:val="004A4A99"/>
    <w:rsid w:val="004B4942"/>
    <w:rsid w:val="004B4FA7"/>
    <w:rsid w:val="004B51D5"/>
    <w:rsid w:val="004B6DC3"/>
    <w:rsid w:val="004B73E3"/>
    <w:rsid w:val="004C21CF"/>
    <w:rsid w:val="004C3E5C"/>
    <w:rsid w:val="004C4668"/>
    <w:rsid w:val="004E3000"/>
    <w:rsid w:val="004F7EA9"/>
    <w:rsid w:val="005026E6"/>
    <w:rsid w:val="00513B43"/>
    <w:rsid w:val="005149AF"/>
    <w:rsid w:val="00534464"/>
    <w:rsid w:val="005763F5"/>
    <w:rsid w:val="00594AD4"/>
    <w:rsid w:val="005A1990"/>
    <w:rsid w:val="005D13FB"/>
    <w:rsid w:val="005D268A"/>
    <w:rsid w:val="005D54E8"/>
    <w:rsid w:val="005E47EC"/>
    <w:rsid w:val="005E7566"/>
    <w:rsid w:val="00614F79"/>
    <w:rsid w:val="006158E4"/>
    <w:rsid w:val="0062088D"/>
    <w:rsid w:val="00626EEC"/>
    <w:rsid w:val="00635010"/>
    <w:rsid w:val="00641564"/>
    <w:rsid w:val="00651EE6"/>
    <w:rsid w:val="0065681B"/>
    <w:rsid w:val="006610D0"/>
    <w:rsid w:val="00671436"/>
    <w:rsid w:val="00673FCF"/>
    <w:rsid w:val="00682AA3"/>
    <w:rsid w:val="00686FD5"/>
    <w:rsid w:val="006B0E8B"/>
    <w:rsid w:val="006C773A"/>
    <w:rsid w:val="006F31DD"/>
    <w:rsid w:val="00716054"/>
    <w:rsid w:val="00740145"/>
    <w:rsid w:val="007462FB"/>
    <w:rsid w:val="0074761C"/>
    <w:rsid w:val="00754542"/>
    <w:rsid w:val="00755099"/>
    <w:rsid w:val="00756977"/>
    <w:rsid w:val="007573E0"/>
    <w:rsid w:val="00764F62"/>
    <w:rsid w:val="007659EA"/>
    <w:rsid w:val="007747D1"/>
    <w:rsid w:val="007865D8"/>
    <w:rsid w:val="007A4B0D"/>
    <w:rsid w:val="007B1DF1"/>
    <w:rsid w:val="007C2D73"/>
    <w:rsid w:val="007D1B3E"/>
    <w:rsid w:val="007F07FB"/>
    <w:rsid w:val="0080408B"/>
    <w:rsid w:val="0082340B"/>
    <w:rsid w:val="00844C5E"/>
    <w:rsid w:val="0084556C"/>
    <w:rsid w:val="00857DD6"/>
    <w:rsid w:val="00871FD9"/>
    <w:rsid w:val="00884B65"/>
    <w:rsid w:val="00886E3D"/>
    <w:rsid w:val="008C3B06"/>
    <w:rsid w:val="008D2D9F"/>
    <w:rsid w:val="008E409B"/>
    <w:rsid w:val="008F0F07"/>
    <w:rsid w:val="008F5A32"/>
    <w:rsid w:val="009001D2"/>
    <w:rsid w:val="00917CC6"/>
    <w:rsid w:val="00935560"/>
    <w:rsid w:val="00946C69"/>
    <w:rsid w:val="009507C5"/>
    <w:rsid w:val="00952634"/>
    <w:rsid w:val="00960534"/>
    <w:rsid w:val="00975434"/>
    <w:rsid w:val="00984CCD"/>
    <w:rsid w:val="00986ABF"/>
    <w:rsid w:val="00990BA6"/>
    <w:rsid w:val="009A4124"/>
    <w:rsid w:val="009A4C85"/>
    <w:rsid w:val="009B386A"/>
    <w:rsid w:val="009B6FD5"/>
    <w:rsid w:val="009B7D7A"/>
    <w:rsid w:val="009C335D"/>
    <w:rsid w:val="009C43C4"/>
    <w:rsid w:val="009E0028"/>
    <w:rsid w:val="009E1787"/>
    <w:rsid w:val="00A013C4"/>
    <w:rsid w:val="00A11144"/>
    <w:rsid w:val="00A12C5D"/>
    <w:rsid w:val="00A12D0F"/>
    <w:rsid w:val="00A355CC"/>
    <w:rsid w:val="00A35FD8"/>
    <w:rsid w:val="00A456A3"/>
    <w:rsid w:val="00A52F65"/>
    <w:rsid w:val="00A548BE"/>
    <w:rsid w:val="00A557B1"/>
    <w:rsid w:val="00A56E08"/>
    <w:rsid w:val="00A64FBB"/>
    <w:rsid w:val="00A67902"/>
    <w:rsid w:val="00A77240"/>
    <w:rsid w:val="00A810D0"/>
    <w:rsid w:val="00A909A0"/>
    <w:rsid w:val="00A9304F"/>
    <w:rsid w:val="00AA7C22"/>
    <w:rsid w:val="00AD1013"/>
    <w:rsid w:val="00B20DEC"/>
    <w:rsid w:val="00B54A86"/>
    <w:rsid w:val="00B54D2F"/>
    <w:rsid w:val="00B5686E"/>
    <w:rsid w:val="00B84332"/>
    <w:rsid w:val="00B8667B"/>
    <w:rsid w:val="00B92626"/>
    <w:rsid w:val="00B926C8"/>
    <w:rsid w:val="00BB1DDF"/>
    <w:rsid w:val="00BB583C"/>
    <w:rsid w:val="00BD2DD2"/>
    <w:rsid w:val="00BE499D"/>
    <w:rsid w:val="00BE7EA7"/>
    <w:rsid w:val="00BF6BA8"/>
    <w:rsid w:val="00BF6F0C"/>
    <w:rsid w:val="00C178FF"/>
    <w:rsid w:val="00C228C5"/>
    <w:rsid w:val="00C24770"/>
    <w:rsid w:val="00C47F8F"/>
    <w:rsid w:val="00C53E1B"/>
    <w:rsid w:val="00C556C2"/>
    <w:rsid w:val="00C6353D"/>
    <w:rsid w:val="00C709BB"/>
    <w:rsid w:val="00C72D42"/>
    <w:rsid w:val="00C75340"/>
    <w:rsid w:val="00C8032D"/>
    <w:rsid w:val="00C8512B"/>
    <w:rsid w:val="00CA6794"/>
    <w:rsid w:val="00CB37CB"/>
    <w:rsid w:val="00CC253B"/>
    <w:rsid w:val="00CD078F"/>
    <w:rsid w:val="00D0669D"/>
    <w:rsid w:val="00D21CAA"/>
    <w:rsid w:val="00D349C6"/>
    <w:rsid w:val="00D4003E"/>
    <w:rsid w:val="00D650B5"/>
    <w:rsid w:val="00D65943"/>
    <w:rsid w:val="00D65B74"/>
    <w:rsid w:val="00D80720"/>
    <w:rsid w:val="00D95B16"/>
    <w:rsid w:val="00DA3C51"/>
    <w:rsid w:val="00DA6AEB"/>
    <w:rsid w:val="00DB0E06"/>
    <w:rsid w:val="00DB7231"/>
    <w:rsid w:val="00DC2E2F"/>
    <w:rsid w:val="00DC6BC7"/>
    <w:rsid w:val="00E173BE"/>
    <w:rsid w:val="00E21549"/>
    <w:rsid w:val="00E268BE"/>
    <w:rsid w:val="00E51F33"/>
    <w:rsid w:val="00E52398"/>
    <w:rsid w:val="00E7346C"/>
    <w:rsid w:val="00E9405C"/>
    <w:rsid w:val="00EB52A1"/>
    <w:rsid w:val="00EB59D5"/>
    <w:rsid w:val="00EB7916"/>
    <w:rsid w:val="00EC54FC"/>
    <w:rsid w:val="00EC59D1"/>
    <w:rsid w:val="00ED6A36"/>
    <w:rsid w:val="00F01429"/>
    <w:rsid w:val="00F04BE4"/>
    <w:rsid w:val="00F0649B"/>
    <w:rsid w:val="00F1148A"/>
    <w:rsid w:val="00F116A0"/>
    <w:rsid w:val="00F2644A"/>
    <w:rsid w:val="00F40B92"/>
    <w:rsid w:val="00F42D74"/>
    <w:rsid w:val="00F571B8"/>
    <w:rsid w:val="00F8456C"/>
    <w:rsid w:val="00F95C81"/>
    <w:rsid w:val="00FA5347"/>
    <w:rsid w:val="00FB6E7B"/>
    <w:rsid w:val="00FB6E98"/>
    <w:rsid w:val="00FB7286"/>
    <w:rsid w:val="00FC509C"/>
    <w:rsid w:val="00FD4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DE1DE"/>
  <w15:chartTrackingRefBased/>
  <w15:docId w15:val="{DD6C2129-9532-4EB9-A1AB-ABCC8A306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6866"/>
    <w:pPr>
      <w:spacing w:after="0" w:line="240" w:lineRule="auto"/>
    </w:pPr>
    <w:rPr>
      <w:rFonts w:ascii="Calibri" w:eastAsia="Times New Roman" w:hAnsi="Calibri" w:cs="Calibri"/>
      <w:color w:val="000000"/>
      <w:kern w:val="28"/>
      <w:sz w:val="20"/>
      <w:szCs w:val="20"/>
      <w14:ligatures w14:val="standard"/>
      <w14:cntxtAlts/>
    </w:rPr>
  </w:style>
  <w:style w:type="paragraph" w:styleId="Heading1">
    <w:name w:val="heading 1"/>
    <w:basedOn w:val="Normal"/>
    <w:link w:val="Heading1Char"/>
    <w:uiPriority w:val="9"/>
    <w:qFormat/>
    <w:rsid w:val="004C4668"/>
    <w:pPr>
      <w:widowControl w:val="0"/>
      <w:autoSpaceDE w:val="0"/>
      <w:autoSpaceDN w:val="0"/>
      <w:ind w:left="222"/>
      <w:outlineLvl w:val="0"/>
    </w:pPr>
    <w:rPr>
      <w:rFonts w:ascii="Times New Roman" w:hAnsi="Times New Roman" w:cs="Times New Roman"/>
      <w:b/>
      <w:bCs/>
      <w:color w:val="auto"/>
      <w:kern w:val="0"/>
      <w:sz w:val="24"/>
      <w:szCs w:val="24"/>
      <w14:ligatures w14:val="none"/>
      <w14:cntxtAlts w14:val="0"/>
    </w:rPr>
  </w:style>
  <w:style w:type="paragraph" w:styleId="Heading2">
    <w:name w:val="heading 2"/>
    <w:basedOn w:val="Normal"/>
    <w:next w:val="Normal"/>
    <w:link w:val="Heading2Char"/>
    <w:uiPriority w:val="9"/>
    <w:unhideWhenUsed/>
    <w:qFormat/>
    <w:rsid w:val="0040017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D078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D7232"/>
    <w:pPr>
      <w:keepNext/>
      <w:keepLines/>
      <w:spacing w:before="40" w:line="276" w:lineRule="auto"/>
      <w:outlineLvl w:val="3"/>
    </w:pPr>
    <w:rPr>
      <w:rFonts w:ascii="Times New Roman" w:eastAsiaTheme="majorEastAsia" w:hAnsi="Times New Roman" w:cstheme="majorBidi"/>
      <w:i/>
      <w:iCs/>
      <w:color w:val="auto"/>
      <w:kern w:val="0"/>
      <w:sz w:val="24"/>
      <w:szCs w:val="22"/>
      <w14:ligatures w14:val="none"/>
      <w14:cntxtAlts w14:val="0"/>
    </w:rPr>
  </w:style>
  <w:style w:type="paragraph" w:styleId="Heading5">
    <w:name w:val="heading 5"/>
    <w:basedOn w:val="Normal"/>
    <w:next w:val="Normal"/>
    <w:link w:val="Heading5Char"/>
    <w:uiPriority w:val="9"/>
    <w:semiHidden/>
    <w:unhideWhenUsed/>
    <w:qFormat/>
    <w:rsid w:val="00EB7916"/>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3688B"/>
    <w:pPr>
      <w:keepNext/>
      <w:keepLines/>
      <w:spacing w:before="40" w:line="276"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03688B"/>
    <w:pPr>
      <w:keepNext/>
      <w:keepLines/>
      <w:spacing w:before="40" w:line="276"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03688B"/>
    <w:pPr>
      <w:keepNext/>
      <w:keepLines/>
      <w:spacing w:line="276"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03688B"/>
    <w:pPr>
      <w:keepNext/>
      <w:keepLines/>
      <w:spacing w:line="276"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6866"/>
    <w:pPr>
      <w:tabs>
        <w:tab w:val="center" w:pos="4680"/>
        <w:tab w:val="right" w:pos="9360"/>
      </w:tabs>
    </w:pPr>
  </w:style>
  <w:style w:type="character" w:customStyle="1" w:styleId="HeaderChar">
    <w:name w:val="Header Char"/>
    <w:basedOn w:val="DefaultParagraphFont"/>
    <w:link w:val="Header"/>
    <w:uiPriority w:val="99"/>
    <w:rsid w:val="00136866"/>
  </w:style>
  <w:style w:type="paragraph" w:styleId="Footer">
    <w:name w:val="footer"/>
    <w:basedOn w:val="Normal"/>
    <w:link w:val="FooterChar"/>
    <w:uiPriority w:val="99"/>
    <w:unhideWhenUsed/>
    <w:rsid w:val="00136866"/>
    <w:pPr>
      <w:tabs>
        <w:tab w:val="center" w:pos="4680"/>
        <w:tab w:val="right" w:pos="9360"/>
      </w:tabs>
    </w:pPr>
  </w:style>
  <w:style w:type="character" w:customStyle="1" w:styleId="FooterChar">
    <w:name w:val="Footer Char"/>
    <w:basedOn w:val="DefaultParagraphFont"/>
    <w:link w:val="Footer"/>
    <w:uiPriority w:val="99"/>
    <w:rsid w:val="00136866"/>
  </w:style>
  <w:style w:type="character" w:styleId="Hyperlink">
    <w:name w:val="Hyperlink"/>
    <w:basedOn w:val="DefaultParagraphFont"/>
    <w:uiPriority w:val="99"/>
    <w:unhideWhenUsed/>
    <w:rsid w:val="00136866"/>
    <w:rPr>
      <w:color w:val="0066FF"/>
      <w:u w:val="single"/>
    </w:rPr>
  </w:style>
  <w:style w:type="paragraph" w:styleId="BodyText">
    <w:name w:val="Body Text"/>
    <w:basedOn w:val="Normal"/>
    <w:link w:val="BodyTextChar"/>
    <w:uiPriority w:val="99"/>
    <w:semiHidden/>
    <w:unhideWhenUsed/>
    <w:rsid w:val="00136866"/>
    <w:rPr>
      <w:rFonts w:ascii="Times New Roman" w:hAnsi="Times New Roman" w:cs="Times New Roman"/>
      <w:sz w:val="24"/>
      <w:szCs w:val="24"/>
    </w:rPr>
  </w:style>
  <w:style w:type="character" w:customStyle="1" w:styleId="BodyTextChar">
    <w:name w:val="Body Text Char"/>
    <w:basedOn w:val="DefaultParagraphFont"/>
    <w:link w:val="BodyText"/>
    <w:uiPriority w:val="99"/>
    <w:semiHidden/>
    <w:rsid w:val="00136866"/>
    <w:rPr>
      <w:rFonts w:ascii="Times New Roman" w:eastAsia="Times New Roman" w:hAnsi="Times New Roman" w:cs="Times New Roman"/>
      <w:color w:val="000000"/>
      <w:kern w:val="28"/>
      <w:sz w:val="24"/>
      <w:szCs w:val="24"/>
      <w14:ligatures w14:val="standard"/>
      <w14:cntxtAlts/>
    </w:rPr>
  </w:style>
  <w:style w:type="paragraph" w:customStyle="1" w:styleId="Abstract">
    <w:name w:val="Abstract"/>
    <w:rsid w:val="00136866"/>
    <w:pPr>
      <w:spacing w:after="454" w:line="256" w:lineRule="auto"/>
      <w:ind w:left="1418"/>
      <w:jc w:val="both"/>
    </w:pPr>
    <w:rPr>
      <w:rFonts w:ascii="Times New Roman" w:eastAsia="Times New Roman" w:hAnsi="Times New Roman" w:cs="Times New Roman"/>
      <w:color w:val="000000"/>
      <w:kern w:val="28"/>
      <w:sz w:val="20"/>
      <w:szCs w:val="20"/>
      <w14:ligatures w14:val="standard"/>
      <w14:cntxtAlts/>
    </w:rPr>
  </w:style>
  <w:style w:type="table" w:styleId="TableGrid">
    <w:name w:val="Table Grid"/>
    <w:basedOn w:val="TableNormal"/>
    <w:uiPriority w:val="39"/>
    <w:qFormat/>
    <w:rsid w:val="00C53E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13B43"/>
    <w:pPr>
      <w:widowControl w:val="0"/>
      <w:autoSpaceDE w:val="0"/>
      <w:autoSpaceDN w:val="0"/>
      <w:spacing w:line="268" w:lineRule="exact"/>
      <w:ind w:left="108"/>
    </w:pPr>
    <w:rPr>
      <w:rFonts w:ascii="Times New Roman" w:hAnsi="Times New Roman" w:cs="Times New Roman"/>
      <w:color w:val="auto"/>
      <w:kern w:val="0"/>
      <w:sz w:val="22"/>
      <w:szCs w:val="22"/>
      <w14:ligatures w14:val="none"/>
      <w14:cntxtAlts w14:val="0"/>
    </w:rPr>
  </w:style>
  <w:style w:type="paragraph" w:styleId="ListParagraph">
    <w:name w:val="List Paragraph"/>
    <w:aliases w:val="spasi 2 taiiii,skripsi,Body Text Char1,Char Char2,List Paragraph2,List Paragraph1,sub de titre 4,ANNEX,Body of text,Atan,paragraf,UGEX'Z,SUB BAB2,TABEL,List Paragraph11,Heading 10,Colorful List - Accent 11,Header Char1,Heading 2 Char1,P1"/>
    <w:basedOn w:val="Normal"/>
    <w:link w:val="ListParagraphChar"/>
    <w:uiPriority w:val="34"/>
    <w:qFormat/>
    <w:rsid w:val="00513B43"/>
    <w:pPr>
      <w:widowControl w:val="0"/>
      <w:autoSpaceDE w:val="0"/>
      <w:autoSpaceDN w:val="0"/>
      <w:ind w:left="1146" w:right="338" w:hanging="360"/>
      <w:jc w:val="both"/>
    </w:pPr>
    <w:rPr>
      <w:rFonts w:ascii="Times New Roman" w:hAnsi="Times New Roman" w:cs="Times New Roman"/>
      <w:color w:val="auto"/>
      <w:kern w:val="0"/>
      <w:sz w:val="22"/>
      <w:szCs w:val="22"/>
      <w14:ligatures w14:val="none"/>
      <w14:cntxtAlts w14:val="0"/>
    </w:rPr>
  </w:style>
  <w:style w:type="character" w:customStyle="1" w:styleId="Heading1Char">
    <w:name w:val="Heading 1 Char"/>
    <w:basedOn w:val="DefaultParagraphFont"/>
    <w:link w:val="Heading1"/>
    <w:uiPriority w:val="9"/>
    <w:rsid w:val="004C4668"/>
    <w:rPr>
      <w:rFonts w:ascii="Times New Roman" w:eastAsia="Times New Roman" w:hAnsi="Times New Roman" w:cs="Times New Roman"/>
      <w:b/>
      <w:bCs/>
      <w:sz w:val="24"/>
      <w:szCs w:val="24"/>
    </w:rPr>
  </w:style>
  <w:style w:type="paragraph" w:styleId="NoSpacing">
    <w:name w:val="No Spacing"/>
    <w:uiPriority w:val="1"/>
    <w:qFormat/>
    <w:rsid w:val="004C4668"/>
    <w:pPr>
      <w:spacing w:after="0" w:line="240" w:lineRule="auto"/>
    </w:pPr>
  </w:style>
  <w:style w:type="character" w:customStyle="1" w:styleId="ListParagraphChar">
    <w:name w:val="List Paragraph Char"/>
    <w:aliases w:val="spasi 2 taiiii Char,skripsi Char,Body Text Char1 Char,Char Char2 Char,List Paragraph2 Char,List Paragraph1 Char,sub de titre 4 Char,ANNEX Char,Body of text Char,Atan Char,paragraf Char,UGEX'Z Char,SUB BAB2 Char,TABEL Char,P1 Char"/>
    <w:link w:val="ListParagraph"/>
    <w:uiPriority w:val="34"/>
    <w:qFormat/>
    <w:locked/>
    <w:rsid w:val="00F40B92"/>
    <w:rPr>
      <w:rFonts w:ascii="Times New Roman" w:eastAsia="Times New Roman" w:hAnsi="Times New Roman" w:cs="Times New Roman"/>
    </w:rPr>
  </w:style>
  <w:style w:type="character" w:customStyle="1" w:styleId="nlmyear">
    <w:name w:val="nlm_year"/>
    <w:basedOn w:val="DefaultParagraphFont"/>
    <w:rsid w:val="00200804"/>
  </w:style>
  <w:style w:type="character" w:customStyle="1" w:styleId="nlmarticle-title">
    <w:name w:val="nlm_article-title"/>
    <w:basedOn w:val="DefaultParagraphFont"/>
    <w:rsid w:val="00200804"/>
  </w:style>
  <w:style w:type="character" w:customStyle="1" w:styleId="nlmfpage">
    <w:name w:val="nlm_fpage"/>
    <w:basedOn w:val="DefaultParagraphFont"/>
    <w:rsid w:val="00200804"/>
  </w:style>
  <w:style w:type="character" w:customStyle="1" w:styleId="nlmlpage">
    <w:name w:val="nlm_lpage"/>
    <w:basedOn w:val="DefaultParagraphFont"/>
    <w:rsid w:val="00200804"/>
  </w:style>
  <w:style w:type="character" w:customStyle="1" w:styleId="linked-author">
    <w:name w:val="linked-author"/>
    <w:basedOn w:val="DefaultParagraphFont"/>
    <w:rsid w:val="00200804"/>
  </w:style>
  <w:style w:type="table" w:styleId="PlainTable3">
    <w:name w:val="Plain Table 3"/>
    <w:basedOn w:val="TableNormal"/>
    <w:uiPriority w:val="43"/>
    <w:rsid w:val="00270CD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0F364A"/>
    <w:rPr>
      <w:color w:val="605E5C"/>
      <w:shd w:val="clear" w:color="auto" w:fill="E1DFDD"/>
    </w:rPr>
  </w:style>
  <w:style w:type="paragraph" w:styleId="HTMLPreformatted">
    <w:name w:val="HTML Preformatted"/>
    <w:basedOn w:val="Normal"/>
    <w:link w:val="HTMLPreformattedChar"/>
    <w:uiPriority w:val="99"/>
    <w:unhideWhenUsed/>
    <w:rsid w:val="00D400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lang w:val="en-ID" w:eastAsia="en-ID"/>
      <w14:ligatures w14:val="none"/>
      <w14:cntxtAlts w14:val="0"/>
    </w:rPr>
  </w:style>
  <w:style w:type="character" w:customStyle="1" w:styleId="HTMLPreformattedChar">
    <w:name w:val="HTML Preformatted Char"/>
    <w:basedOn w:val="DefaultParagraphFont"/>
    <w:link w:val="HTMLPreformatted"/>
    <w:uiPriority w:val="99"/>
    <w:rsid w:val="00D4003E"/>
    <w:rPr>
      <w:rFonts w:ascii="Courier New" w:eastAsia="Times New Roman" w:hAnsi="Courier New" w:cs="Courier New"/>
      <w:sz w:val="20"/>
      <w:szCs w:val="20"/>
      <w:lang w:val="en-ID" w:eastAsia="en-ID"/>
    </w:rPr>
  </w:style>
  <w:style w:type="paragraph" w:styleId="NormalWeb">
    <w:name w:val="Normal (Web)"/>
    <w:basedOn w:val="Normal"/>
    <w:uiPriority w:val="99"/>
    <w:semiHidden/>
    <w:unhideWhenUsed/>
    <w:rsid w:val="005026E6"/>
    <w:pPr>
      <w:spacing w:before="100" w:beforeAutospacing="1" w:after="100" w:afterAutospacing="1"/>
    </w:pPr>
    <w:rPr>
      <w:rFonts w:ascii="Times New Roman" w:hAnsi="Times New Roman" w:cs="Times New Roman"/>
      <w:color w:val="auto"/>
      <w:kern w:val="0"/>
      <w:sz w:val="24"/>
      <w:szCs w:val="24"/>
      <w:lang w:val="en-MY" w:eastAsia="en-MY"/>
      <w14:ligatures w14:val="none"/>
      <w14:cntxtAlts w14:val="0"/>
    </w:rPr>
  </w:style>
  <w:style w:type="character" w:styleId="Emphasis">
    <w:name w:val="Emphasis"/>
    <w:basedOn w:val="DefaultParagraphFont"/>
    <w:uiPriority w:val="20"/>
    <w:qFormat/>
    <w:rsid w:val="005026E6"/>
    <w:rPr>
      <w:i/>
      <w:iCs/>
    </w:rPr>
  </w:style>
  <w:style w:type="paragraph" w:styleId="CommentText">
    <w:name w:val="annotation text"/>
    <w:basedOn w:val="Normal"/>
    <w:link w:val="CommentTextChar"/>
    <w:uiPriority w:val="99"/>
    <w:semiHidden/>
    <w:unhideWhenUsed/>
    <w:rsid w:val="005026E6"/>
    <w:pPr>
      <w:spacing w:after="160"/>
    </w:pPr>
    <w:rPr>
      <w:rFonts w:eastAsia="Calibri" w:cs="SimSun"/>
      <w:color w:val="auto"/>
      <w:kern w:val="0"/>
      <w14:ligatures w14:val="none"/>
      <w14:cntxtAlts w14:val="0"/>
    </w:rPr>
  </w:style>
  <w:style w:type="character" w:customStyle="1" w:styleId="CommentTextChar">
    <w:name w:val="Comment Text Char"/>
    <w:basedOn w:val="DefaultParagraphFont"/>
    <w:link w:val="CommentText"/>
    <w:uiPriority w:val="99"/>
    <w:semiHidden/>
    <w:rsid w:val="005026E6"/>
    <w:rPr>
      <w:rFonts w:ascii="Calibri" w:eastAsia="Calibri" w:hAnsi="Calibri" w:cs="SimSun"/>
      <w:sz w:val="20"/>
      <w:szCs w:val="20"/>
    </w:rPr>
  </w:style>
  <w:style w:type="character" w:styleId="CommentReference">
    <w:name w:val="annotation reference"/>
    <w:basedOn w:val="DefaultParagraphFont"/>
    <w:uiPriority w:val="99"/>
    <w:semiHidden/>
    <w:unhideWhenUsed/>
    <w:rsid w:val="005026E6"/>
    <w:rPr>
      <w:sz w:val="16"/>
      <w:szCs w:val="16"/>
    </w:rPr>
  </w:style>
  <w:style w:type="paragraph" w:styleId="BalloonText">
    <w:name w:val="Balloon Text"/>
    <w:basedOn w:val="Normal"/>
    <w:link w:val="BalloonTextChar"/>
    <w:uiPriority w:val="99"/>
    <w:semiHidden/>
    <w:unhideWhenUsed/>
    <w:rsid w:val="005026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6E6"/>
    <w:rPr>
      <w:rFonts w:ascii="Segoe UI" w:eastAsia="Times New Roman" w:hAnsi="Segoe UI" w:cs="Segoe UI"/>
      <w:color w:val="000000"/>
      <w:kern w:val="28"/>
      <w:sz w:val="18"/>
      <w:szCs w:val="18"/>
      <w14:ligatures w14:val="standard"/>
      <w14:cntxtAlts/>
    </w:rPr>
  </w:style>
  <w:style w:type="character" w:customStyle="1" w:styleId="Heading2Char">
    <w:name w:val="Heading 2 Char"/>
    <w:basedOn w:val="DefaultParagraphFont"/>
    <w:link w:val="Heading2"/>
    <w:uiPriority w:val="9"/>
    <w:rsid w:val="0040017F"/>
    <w:rPr>
      <w:rFonts w:asciiTheme="majorHAnsi" w:eastAsiaTheme="majorEastAsia" w:hAnsiTheme="majorHAnsi" w:cstheme="majorBidi"/>
      <w:color w:val="2E74B5" w:themeColor="accent1" w:themeShade="BF"/>
      <w:kern w:val="28"/>
      <w:sz w:val="26"/>
      <w:szCs w:val="26"/>
      <w14:ligatures w14:val="standard"/>
      <w14:cntxtAlts/>
    </w:rPr>
  </w:style>
  <w:style w:type="character" w:customStyle="1" w:styleId="Heading3Char">
    <w:name w:val="Heading 3 Char"/>
    <w:basedOn w:val="DefaultParagraphFont"/>
    <w:link w:val="Heading3"/>
    <w:uiPriority w:val="9"/>
    <w:rsid w:val="00CD078F"/>
    <w:rPr>
      <w:rFonts w:asciiTheme="majorHAnsi" w:eastAsiaTheme="majorEastAsia" w:hAnsiTheme="majorHAnsi" w:cstheme="majorBidi"/>
      <w:color w:val="1F4D78" w:themeColor="accent1" w:themeShade="7F"/>
      <w:kern w:val="28"/>
      <w:sz w:val="24"/>
      <w:szCs w:val="24"/>
      <w14:ligatures w14:val="standard"/>
      <w14:cntxtAlts/>
    </w:rPr>
  </w:style>
  <w:style w:type="paragraph" w:styleId="Bibliography">
    <w:name w:val="Bibliography"/>
    <w:basedOn w:val="Normal"/>
    <w:next w:val="Normal"/>
    <w:uiPriority w:val="37"/>
    <w:unhideWhenUsed/>
    <w:rsid w:val="006F31DD"/>
  </w:style>
  <w:style w:type="character" w:customStyle="1" w:styleId="Heading4Char">
    <w:name w:val="Heading 4 Char"/>
    <w:basedOn w:val="DefaultParagraphFont"/>
    <w:link w:val="Heading4"/>
    <w:uiPriority w:val="9"/>
    <w:rsid w:val="002D7232"/>
    <w:rPr>
      <w:rFonts w:ascii="Times New Roman" w:eastAsiaTheme="majorEastAsia" w:hAnsi="Times New Roman" w:cstheme="majorBidi"/>
      <w:i/>
      <w:iCs/>
      <w:sz w:val="24"/>
    </w:rPr>
  </w:style>
  <w:style w:type="character" w:customStyle="1" w:styleId="fontstyle01">
    <w:name w:val="fontstyle01"/>
    <w:rsid w:val="002D7232"/>
    <w:rPr>
      <w:rFonts w:ascii="TimesNewRomanPSMT" w:hAnsi="TimesNewRomanPSMT" w:hint="default"/>
      <w:b w:val="0"/>
      <w:bCs w:val="0"/>
      <w:i w:val="0"/>
      <w:iCs w:val="0"/>
      <w:color w:val="000000"/>
      <w:sz w:val="24"/>
      <w:szCs w:val="24"/>
    </w:rPr>
  </w:style>
  <w:style w:type="character" w:customStyle="1" w:styleId="fontstyle21">
    <w:name w:val="fontstyle21"/>
    <w:rsid w:val="002D7232"/>
    <w:rPr>
      <w:rFonts w:ascii="TimesNewRomanPS-ItalicMT" w:hAnsi="TimesNewRomanPS-ItalicMT" w:hint="default"/>
      <w:b w:val="0"/>
      <w:bCs w:val="0"/>
      <w:i/>
      <w:iCs/>
      <w:color w:val="000000"/>
      <w:sz w:val="22"/>
      <w:szCs w:val="22"/>
    </w:rPr>
  </w:style>
  <w:style w:type="character" w:customStyle="1" w:styleId="fontstyle31">
    <w:name w:val="fontstyle31"/>
    <w:basedOn w:val="DefaultParagraphFont"/>
    <w:rsid w:val="002D7232"/>
    <w:rPr>
      <w:rFonts w:ascii="AdvTimes-b" w:hAnsi="AdvTimes-b" w:hint="default"/>
      <w:b w:val="0"/>
      <w:bCs w:val="0"/>
      <w:i w:val="0"/>
      <w:iCs w:val="0"/>
      <w:color w:val="000000"/>
      <w:sz w:val="18"/>
      <w:szCs w:val="18"/>
    </w:rPr>
  </w:style>
  <w:style w:type="character" w:customStyle="1" w:styleId="CommentSubjectChar">
    <w:name w:val="Comment Subject Char"/>
    <w:basedOn w:val="CommentTextChar"/>
    <w:link w:val="CommentSubject"/>
    <w:uiPriority w:val="99"/>
    <w:semiHidden/>
    <w:rsid w:val="002D7232"/>
    <w:rPr>
      <w:rFonts w:ascii="Calibri" w:eastAsia="Calibri" w:hAnsi="Calibri" w:cs="SimSun"/>
      <w:b/>
      <w:bCs/>
      <w:sz w:val="20"/>
      <w:szCs w:val="20"/>
    </w:rPr>
  </w:style>
  <w:style w:type="paragraph" w:styleId="CommentSubject">
    <w:name w:val="annotation subject"/>
    <w:basedOn w:val="CommentText"/>
    <w:next w:val="CommentText"/>
    <w:link w:val="CommentSubjectChar"/>
    <w:uiPriority w:val="99"/>
    <w:semiHidden/>
    <w:unhideWhenUsed/>
    <w:rsid w:val="002D7232"/>
    <w:rPr>
      <w:rFonts w:asciiTheme="minorHAnsi" w:eastAsiaTheme="minorHAnsi" w:hAnsiTheme="minorHAnsi" w:cstheme="minorBidi"/>
      <w:b/>
      <w:bCs/>
    </w:rPr>
  </w:style>
  <w:style w:type="character" w:customStyle="1" w:styleId="CommentSubjectChar1">
    <w:name w:val="Comment Subject Char1"/>
    <w:basedOn w:val="CommentTextChar"/>
    <w:uiPriority w:val="99"/>
    <w:semiHidden/>
    <w:rsid w:val="002D7232"/>
    <w:rPr>
      <w:rFonts w:ascii="Calibri" w:eastAsia="Times New Roman" w:hAnsi="Calibri" w:cs="Calibri"/>
      <w:b/>
      <w:bCs/>
      <w:color w:val="000000"/>
      <w:kern w:val="28"/>
      <w:sz w:val="20"/>
      <w:szCs w:val="20"/>
      <w14:ligatures w14:val="standard"/>
      <w14:cntxtAlts/>
    </w:rPr>
  </w:style>
  <w:style w:type="character" w:customStyle="1" w:styleId="BalloonTextChar1">
    <w:name w:val="Balloon Text Char1"/>
    <w:basedOn w:val="DefaultParagraphFont"/>
    <w:uiPriority w:val="99"/>
    <w:semiHidden/>
    <w:rsid w:val="002D7232"/>
    <w:rPr>
      <w:rFonts w:ascii="Segoe UI" w:eastAsia="Calibri" w:hAnsi="Segoe UI" w:cs="Segoe UI"/>
      <w:kern w:val="0"/>
      <w:sz w:val="18"/>
      <w:szCs w:val="18"/>
      <w:lang w:val="en-US" w:eastAsia="en-US"/>
      <w14:ligatures w14:val="none"/>
    </w:rPr>
  </w:style>
  <w:style w:type="character" w:styleId="PlaceholderText">
    <w:name w:val="Placeholder Text"/>
    <w:basedOn w:val="DefaultParagraphFont"/>
    <w:uiPriority w:val="99"/>
    <w:semiHidden/>
    <w:rsid w:val="002D7232"/>
    <w:rPr>
      <w:color w:val="808080"/>
    </w:rPr>
  </w:style>
  <w:style w:type="paragraph" w:styleId="TOCHeading">
    <w:name w:val="TOC Heading"/>
    <w:basedOn w:val="Heading1"/>
    <w:next w:val="Normal"/>
    <w:uiPriority w:val="39"/>
    <w:unhideWhenUsed/>
    <w:qFormat/>
    <w:rsid w:val="002D723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2D7232"/>
    <w:pPr>
      <w:tabs>
        <w:tab w:val="right" w:leader="dot" w:pos="9019"/>
      </w:tabs>
      <w:spacing w:after="100" w:line="276" w:lineRule="auto"/>
    </w:pPr>
    <w:rPr>
      <w:rFonts w:eastAsia="Calibri" w:cs="Times New Roman"/>
      <w:b/>
      <w:bCs/>
      <w:noProof/>
      <w:color w:val="auto"/>
      <w:kern w:val="0"/>
      <w:sz w:val="22"/>
      <w:szCs w:val="22"/>
      <w14:ligatures w14:val="none"/>
      <w14:cntxtAlts w14:val="0"/>
    </w:rPr>
  </w:style>
  <w:style w:type="paragraph" w:styleId="TOC2">
    <w:name w:val="toc 2"/>
    <w:basedOn w:val="Normal"/>
    <w:next w:val="Normal"/>
    <w:autoRedefine/>
    <w:uiPriority w:val="39"/>
    <w:unhideWhenUsed/>
    <w:rsid w:val="002D7232"/>
    <w:pPr>
      <w:spacing w:after="100" w:line="276" w:lineRule="auto"/>
      <w:ind w:left="220"/>
    </w:pPr>
    <w:rPr>
      <w:rFonts w:eastAsia="Calibri" w:cs="Times New Roman"/>
      <w:color w:val="auto"/>
      <w:kern w:val="0"/>
      <w:sz w:val="22"/>
      <w:szCs w:val="22"/>
      <w14:ligatures w14:val="none"/>
      <w14:cntxtAlts w14:val="0"/>
    </w:rPr>
  </w:style>
  <w:style w:type="character" w:customStyle="1" w:styleId="y2iqfc">
    <w:name w:val="y2iqfc"/>
    <w:basedOn w:val="DefaultParagraphFont"/>
    <w:rsid w:val="002D7232"/>
  </w:style>
  <w:style w:type="paragraph" w:styleId="z-TopofForm">
    <w:name w:val="HTML Top of Form"/>
    <w:basedOn w:val="Normal"/>
    <w:next w:val="Normal"/>
    <w:link w:val="z-TopofFormChar"/>
    <w:hidden/>
    <w:uiPriority w:val="99"/>
    <w:semiHidden/>
    <w:unhideWhenUsed/>
    <w:rsid w:val="002D7232"/>
    <w:pPr>
      <w:pBdr>
        <w:bottom w:val="single" w:sz="6" w:space="1" w:color="auto"/>
      </w:pBdr>
      <w:jc w:val="center"/>
    </w:pPr>
    <w:rPr>
      <w:rFonts w:ascii="Arial" w:hAnsi="Arial" w:cs="Arial"/>
      <w:vanish/>
      <w:color w:val="auto"/>
      <w:kern w:val="0"/>
      <w:sz w:val="16"/>
      <w:szCs w:val="16"/>
      <w:lang w:val="en-ID" w:eastAsia="zh-CN"/>
      <w14:ligatures w14:val="none"/>
      <w14:cntxtAlts w14:val="0"/>
    </w:rPr>
  </w:style>
  <w:style w:type="character" w:customStyle="1" w:styleId="z-TopofFormChar">
    <w:name w:val="z-Top of Form Char"/>
    <w:basedOn w:val="DefaultParagraphFont"/>
    <w:link w:val="z-TopofForm"/>
    <w:uiPriority w:val="99"/>
    <w:semiHidden/>
    <w:rsid w:val="002D7232"/>
    <w:rPr>
      <w:rFonts w:ascii="Arial" w:eastAsia="Times New Roman" w:hAnsi="Arial" w:cs="Arial"/>
      <w:vanish/>
      <w:sz w:val="16"/>
      <w:szCs w:val="16"/>
      <w:lang w:val="en-ID" w:eastAsia="zh-CN"/>
    </w:rPr>
  </w:style>
  <w:style w:type="character" w:styleId="Strong">
    <w:name w:val="Strong"/>
    <w:basedOn w:val="DefaultParagraphFont"/>
    <w:uiPriority w:val="22"/>
    <w:qFormat/>
    <w:rsid w:val="002D7232"/>
    <w:rPr>
      <w:b/>
      <w:bCs/>
    </w:rPr>
  </w:style>
  <w:style w:type="character" w:customStyle="1" w:styleId="hps">
    <w:name w:val="hps"/>
    <w:basedOn w:val="DefaultParagraphFont"/>
    <w:rsid w:val="002D7232"/>
  </w:style>
  <w:style w:type="paragraph" w:customStyle="1" w:styleId="a">
    <w:name w:val="اسامی لاتین"/>
    <w:basedOn w:val="Normal"/>
    <w:qFormat/>
    <w:rsid w:val="002D7232"/>
    <w:pPr>
      <w:autoSpaceDE w:val="0"/>
      <w:autoSpaceDN w:val="0"/>
      <w:adjustRightInd w:val="0"/>
      <w:spacing w:line="276" w:lineRule="auto"/>
      <w:jc w:val="center"/>
    </w:pPr>
    <w:rPr>
      <w:rFonts w:asciiTheme="majorBidi" w:eastAsia="Calibri" w:hAnsiTheme="majorBidi" w:cstheme="majorBidi"/>
      <w:b/>
      <w:i/>
      <w:color w:val="auto"/>
      <w:kern w:val="0"/>
      <w:sz w:val="18"/>
      <w:szCs w:val="22"/>
      <w:lang w:bidi="fa-IR"/>
      <w14:ligatures w14:val="none"/>
      <w14:cntxtAlts w14:val="0"/>
    </w:rPr>
  </w:style>
  <w:style w:type="paragraph" w:customStyle="1" w:styleId="a0">
    <w:name w:val="سمت لاتین"/>
    <w:basedOn w:val="a"/>
    <w:qFormat/>
    <w:rsid w:val="002D7232"/>
    <w:pPr>
      <w:spacing w:line="240" w:lineRule="auto"/>
    </w:pPr>
    <w:rPr>
      <w:b w:val="0"/>
    </w:rPr>
  </w:style>
  <w:style w:type="character" w:customStyle="1" w:styleId="shorttext">
    <w:name w:val="short_text"/>
    <w:basedOn w:val="DefaultParagraphFont"/>
    <w:rsid w:val="002D7232"/>
  </w:style>
  <w:style w:type="character" w:styleId="FollowedHyperlink">
    <w:name w:val="FollowedHyperlink"/>
    <w:basedOn w:val="DefaultParagraphFont"/>
    <w:uiPriority w:val="99"/>
    <w:semiHidden/>
    <w:unhideWhenUsed/>
    <w:rsid w:val="002D7232"/>
    <w:rPr>
      <w:color w:val="954F72" w:themeColor="followedHyperlink"/>
      <w:u w:val="single"/>
    </w:rPr>
  </w:style>
  <w:style w:type="character" w:customStyle="1" w:styleId="Heading5Char">
    <w:name w:val="Heading 5 Char"/>
    <w:basedOn w:val="DefaultParagraphFont"/>
    <w:link w:val="Heading5"/>
    <w:uiPriority w:val="9"/>
    <w:semiHidden/>
    <w:rsid w:val="00EB7916"/>
    <w:rPr>
      <w:rFonts w:asciiTheme="majorHAnsi" w:eastAsiaTheme="majorEastAsia" w:hAnsiTheme="majorHAnsi" w:cstheme="majorBidi"/>
      <w:color w:val="2E74B5" w:themeColor="accent1" w:themeShade="BF"/>
      <w:kern w:val="28"/>
      <w:sz w:val="20"/>
      <w:szCs w:val="20"/>
      <w14:ligatures w14:val="standard"/>
      <w14:cntxtAlts/>
    </w:rPr>
  </w:style>
  <w:style w:type="paragraph" w:styleId="ListNumber">
    <w:name w:val="List Number"/>
    <w:basedOn w:val="Normal"/>
    <w:uiPriority w:val="99"/>
    <w:unhideWhenUsed/>
    <w:rsid w:val="00F0649B"/>
    <w:pPr>
      <w:numPr>
        <w:numId w:val="1"/>
      </w:numPr>
      <w:spacing w:after="200" w:line="276" w:lineRule="auto"/>
      <w:contextualSpacing/>
    </w:pPr>
    <w:rPr>
      <w:rFonts w:asciiTheme="minorHAnsi" w:eastAsiaTheme="minorEastAsia" w:hAnsiTheme="minorHAnsi" w:cstheme="minorBidi"/>
      <w:color w:val="auto"/>
      <w:kern w:val="0"/>
      <w:sz w:val="22"/>
      <w:szCs w:val="22"/>
      <w14:ligatures w14:val="none"/>
      <w14:cntxtAlts w14:val="0"/>
    </w:rPr>
  </w:style>
  <w:style w:type="table" w:styleId="ListTable6Colorful">
    <w:name w:val="List Table 6 Colorful"/>
    <w:basedOn w:val="TableNormal"/>
    <w:uiPriority w:val="51"/>
    <w:rsid w:val="00716054"/>
    <w:pPr>
      <w:spacing w:after="0" w:line="240" w:lineRule="auto"/>
    </w:pPr>
    <w:rPr>
      <w:color w:val="000000" w:themeColor="text1"/>
      <w:lang w:val="en-ID"/>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716054"/>
    <w:pPr>
      <w:autoSpaceDE w:val="0"/>
      <w:autoSpaceDN w:val="0"/>
      <w:adjustRightInd w:val="0"/>
      <w:spacing w:after="0" w:line="240" w:lineRule="auto"/>
    </w:pPr>
    <w:rPr>
      <w:rFonts w:ascii="Times New Roman" w:hAnsi="Times New Roman" w:cs="Times New Roman"/>
      <w:color w:val="000000"/>
      <w:sz w:val="24"/>
      <w:szCs w:val="24"/>
      <w:lang w:val="en-ID"/>
    </w:rPr>
  </w:style>
  <w:style w:type="character" w:customStyle="1" w:styleId="Heading6Char">
    <w:name w:val="Heading 6 Char"/>
    <w:basedOn w:val="DefaultParagraphFont"/>
    <w:link w:val="Heading6"/>
    <w:semiHidden/>
    <w:rsid w:val="0003688B"/>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03688B"/>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03688B"/>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03688B"/>
    <w:rPr>
      <w:rFonts w:eastAsiaTheme="majorEastAsia" w:cstheme="majorBidi"/>
      <w:color w:val="272727" w:themeColor="text1" w:themeTint="D8"/>
      <w:kern w:val="2"/>
      <w:sz w:val="24"/>
      <w:szCs w:val="24"/>
      <w14:ligatures w14:val="standardContextual"/>
    </w:rPr>
  </w:style>
  <w:style w:type="paragraph" w:customStyle="1" w:styleId="msonormal0">
    <w:name w:val="msonormal"/>
    <w:basedOn w:val="Normal"/>
    <w:rsid w:val="0003688B"/>
    <w:pPr>
      <w:spacing w:before="100" w:beforeAutospacing="1" w:after="100" w:afterAutospacing="1"/>
    </w:pPr>
    <w:rPr>
      <w:rFonts w:ascii="Times New Roman" w:hAnsi="Times New Roman" w:cs="Times New Roman"/>
      <w:color w:val="auto"/>
      <w:kern w:val="0"/>
      <w:sz w:val="24"/>
      <w:szCs w:val="24"/>
      <w14:ligatures w14:val="none"/>
      <w14:cntxtAlts w14:val="0"/>
    </w:rPr>
  </w:style>
  <w:style w:type="paragraph" w:styleId="Title">
    <w:name w:val="Title"/>
    <w:basedOn w:val="Normal"/>
    <w:next w:val="Normal"/>
    <w:link w:val="TitleChar"/>
    <w:uiPriority w:val="10"/>
    <w:qFormat/>
    <w:rsid w:val="0003688B"/>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03688B"/>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03688B"/>
    <w:pPr>
      <w:spacing w:after="160" w:line="276"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03688B"/>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03688B"/>
    <w:pPr>
      <w:spacing w:before="160" w:after="160" w:line="276"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03688B"/>
    <w:rPr>
      <w:i/>
      <w:iCs/>
      <w:color w:val="404040" w:themeColor="text1" w:themeTint="BF"/>
      <w:kern w:val="2"/>
      <w:sz w:val="24"/>
      <w:szCs w:val="24"/>
      <w14:ligatures w14:val="standardContextual"/>
    </w:rPr>
  </w:style>
  <w:style w:type="paragraph" w:styleId="IntenseQuote">
    <w:name w:val="Intense Quote"/>
    <w:basedOn w:val="Normal"/>
    <w:next w:val="Normal"/>
    <w:link w:val="IntenseQuoteChar"/>
    <w:uiPriority w:val="30"/>
    <w:qFormat/>
    <w:rsid w:val="0003688B"/>
    <w:pPr>
      <w:pBdr>
        <w:top w:val="single" w:sz="4" w:space="10" w:color="2E74B5" w:themeColor="accent1" w:themeShade="BF"/>
        <w:bottom w:val="single" w:sz="4" w:space="10" w:color="2E74B5" w:themeColor="accent1" w:themeShade="BF"/>
      </w:pBdr>
      <w:spacing w:before="360" w:after="360" w:line="276" w:lineRule="auto"/>
      <w:ind w:left="864" w:right="864"/>
      <w:jc w:val="center"/>
    </w:pPr>
    <w:rPr>
      <w:rFonts w:asciiTheme="minorHAnsi" w:eastAsiaTheme="minorHAnsi" w:hAnsiTheme="minorHAnsi" w:cstheme="minorBidi"/>
      <w:i/>
      <w:iCs/>
      <w:color w:val="2E74B5"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03688B"/>
    <w:rPr>
      <w:i/>
      <w:iCs/>
      <w:color w:val="2E74B5" w:themeColor="accent1" w:themeShade="BF"/>
      <w:kern w:val="2"/>
      <w:sz w:val="24"/>
      <w:szCs w:val="24"/>
      <w14:ligatures w14:val="standardContextual"/>
    </w:rPr>
  </w:style>
  <w:style w:type="character" w:styleId="IntenseEmphasis">
    <w:name w:val="Intense Emphasis"/>
    <w:basedOn w:val="DefaultParagraphFont"/>
    <w:uiPriority w:val="21"/>
    <w:qFormat/>
    <w:rsid w:val="0003688B"/>
    <w:rPr>
      <w:i/>
      <w:iCs/>
      <w:color w:val="2E74B5" w:themeColor="accent1" w:themeShade="BF"/>
    </w:rPr>
  </w:style>
  <w:style w:type="character" w:styleId="IntenseReference">
    <w:name w:val="Intense Reference"/>
    <w:basedOn w:val="DefaultParagraphFont"/>
    <w:uiPriority w:val="32"/>
    <w:qFormat/>
    <w:rsid w:val="0003688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0677">
      <w:bodyDiv w:val="1"/>
      <w:marLeft w:val="0"/>
      <w:marRight w:val="0"/>
      <w:marTop w:val="0"/>
      <w:marBottom w:val="0"/>
      <w:divBdr>
        <w:top w:val="none" w:sz="0" w:space="0" w:color="auto"/>
        <w:left w:val="none" w:sz="0" w:space="0" w:color="auto"/>
        <w:bottom w:val="none" w:sz="0" w:space="0" w:color="auto"/>
        <w:right w:val="none" w:sz="0" w:space="0" w:color="auto"/>
      </w:divBdr>
    </w:div>
    <w:div w:id="16974819">
      <w:bodyDiv w:val="1"/>
      <w:marLeft w:val="0"/>
      <w:marRight w:val="0"/>
      <w:marTop w:val="0"/>
      <w:marBottom w:val="0"/>
      <w:divBdr>
        <w:top w:val="none" w:sz="0" w:space="0" w:color="auto"/>
        <w:left w:val="none" w:sz="0" w:space="0" w:color="auto"/>
        <w:bottom w:val="none" w:sz="0" w:space="0" w:color="auto"/>
        <w:right w:val="none" w:sz="0" w:space="0" w:color="auto"/>
      </w:divBdr>
    </w:div>
    <w:div w:id="32967190">
      <w:bodyDiv w:val="1"/>
      <w:marLeft w:val="0"/>
      <w:marRight w:val="0"/>
      <w:marTop w:val="0"/>
      <w:marBottom w:val="0"/>
      <w:divBdr>
        <w:top w:val="none" w:sz="0" w:space="0" w:color="auto"/>
        <w:left w:val="none" w:sz="0" w:space="0" w:color="auto"/>
        <w:bottom w:val="none" w:sz="0" w:space="0" w:color="auto"/>
        <w:right w:val="none" w:sz="0" w:space="0" w:color="auto"/>
      </w:divBdr>
    </w:div>
    <w:div w:id="39671740">
      <w:bodyDiv w:val="1"/>
      <w:marLeft w:val="0"/>
      <w:marRight w:val="0"/>
      <w:marTop w:val="0"/>
      <w:marBottom w:val="0"/>
      <w:divBdr>
        <w:top w:val="none" w:sz="0" w:space="0" w:color="auto"/>
        <w:left w:val="none" w:sz="0" w:space="0" w:color="auto"/>
        <w:bottom w:val="none" w:sz="0" w:space="0" w:color="auto"/>
        <w:right w:val="none" w:sz="0" w:space="0" w:color="auto"/>
      </w:divBdr>
    </w:div>
    <w:div w:id="64182575">
      <w:bodyDiv w:val="1"/>
      <w:marLeft w:val="0"/>
      <w:marRight w:val="0"/>
      <w:marTop w:val="0"/>
      <w:marBottom w:val="0"/>
      <w:divBdr>
        <w:top w:val="none" w:sz="0" w:space="0" w:color="auto"/>
        <w:left w:val="none" w:sz="0" w:space="0" w:color="auto"/>
        <w:bottom w:val="none" w:sz="0" w:space="0" w:color="auto"/>
        <w:right w:val="none" w:sz="0" w:space="0" w:color="auto"/>
      </w:divBdr>
    </w:div>
    <w:div w:id="128280096">
      <w:bodyDiv w:val="1"/>
      <w:marLeft w:val="0"/>
      <w:marRight w:val="0"/>
      <w:marTop w:val="0"/>
      <w:marBottom w:val="0"/>
      <w:divBdr>
        <w:top w:val="none" w:sz="0" w:space="0" w:color="auto"/>
        <w:left w:val="none" w:sz="0" w:space="0" w:color="auto"/>
        <w:bottom w:val="none" w:sz="0" w:space="0" w:color="auto"/>
        <w:right w:val="none" w:sz="0" w:space="0" w:color="auto"/>
      </w:divBdr>
    </w:div>
    <w:div w:id="135151382">
      <w:bodyDiv w:val="1"/>
      <w:marLeft w:val="0"/>
      <w:marRight w:val="0"/>
      <w:marTop w:val="0"/>
      <w:marBottom w:val="0"/>
      <w:divBdr>
        <w:top w:val="none" w:sz="0" w:space="0" w:color="auto"/>
        <w:left w:val="none" w:sz="0" w:space="0" w:color="auto"/>
        <w:bottom w:val="none" w:sz="0" w:space="0" w:color="auto"/>
        <w:right w:val="none" w:sz="0" w:space="0" w:color="auto"/>
      </w:divBdr>
    </w:div>
    <w:div w:id="142696701">
      <w:bodyDiv w:val="1"/>
      <w:marLeft w:val="0"/>
      <w:marRight w:val="0"/>
      <w:marTop w:val="0"/>
      <w:marBottom w:val="0"/>
      <w:divBdr>
        <w:top w:val="none" w:sz="0" w:space="0" w:color="auto"/>
        <w:left w:val="none" w:sz="0" w:space="0" w:color="auto"/>
        <w:bottom w:val="none" w:sz="0" w:space="0" w:color="auto"/>
        <w:right w:val="none" w:sz="0" w:space="0" w:color="auto"/>
      </w:divBdr>
    </w:div>
    <w:div w:id="151262370">
      <w:bodyDiv w:val="1"/>
      <w:marLeft w:val="0"/>
      <w:marRight w:val="0"/>
      <w:marTop w:val="0"/>
      <w:marBottom w:val="0"/>
      <w:divBdr>
        <w:top w:val="none" w:sz="0" w:space="0" w:color="auto"/>
        <w:left w:val="none" w:sz="0" w:space="0" w:color="auto"/>
        <w:bottom w:val="none" w:sz="0" w:space="0" w:color="auto"/>
        <w:right w:val="none" w:sz="0" w:space="0" w:color="auto"/>
      </w:divBdr>
    </w:div>
    <w:div w:id="158037256">
      <w:bodyDiv w:val="1"/>
      <w:marLeft w:val="0"/>
      <w:marRight w:val="0"/>
      <w:marTop w:val="0"/>
      <w:marBottom w:val="0"/>
      <w:divBdr>
        <w:top w:val="none" w:sz="0" w:space="0" w:color="auto"/>
        <w:left w:val="none" w:sz="0" w:space="0" w:color="auto"/>
        <w:bottom w:val="none" w:sz="0" w:space="0" w:color="auto"/>
        <w:right w:val="none" w:sz="0" w:space="0" w:color="auto"/>
      </w:divBdr>
    </w:div>
    <w:div w:id="174003533">
      <w:bodyDiv w:val="1"/>
      <w:marLeft w:val="0"/>
      <w:marRight w:val="0"/>
      <w:marTop w:val="0"/>
      <w:marBottom w:val="0"/>
      <w:divBdr>
        <w:top w:val="none" w:sz="0" w:space="0" w:color="auto"/>
        <w:left w:val="none" w:sz="0" w:space="0" w:color="auto"/>
        <w:bottom w:val="none" w:sz="0" w:space="0" w:color="auto"/>
        <w:right w:val="none" w:sz="0" w:space="0" w:color="auto"/>
      </w:divBdr>
    </w:div>
    <w:div w:id="182517798">
      <w:bodyDiv w:val="1"/>
      <w:marLeft w:val="0"/>
      <w:marRight w:val="0"/>
      <w:marTop w:val="0"/>
      <w:marBottom w:val="0"/>
      <w:divBdr>
        <w:top w:val="none" w:sz="0" w:space="0" w:color="auto"/>
        <w:left w:val="none" w:sz="0" w:space="0" w:color="auto"/>
        <w:bottom w:val="none" w:sz="0" w:space="0" w:color="auto"/>
        <w:right w:val="none" w:sz="0" w:space="0" w:color="auto"/>
      </w:divBdr>
    </w:div>
    <w:div w:id="219750135">
      <w:bodyDiv w:val="1"/>
      <w:marLeft w:val="0"/>
      <w:marRight w:val="0"/>
      <w:marTop w:val="0"/>
      <w:marBottom w:val="0"/>
      <w:divBdr>
        <w:top w:val="none" w:sz="0" w:space="0" w:color="auto"/>
        <w:left w:val="none" w:sz="0" w:space="0" w:color="auto"/>
        <w:bottom w:val="none" w:sz="0" w:space="0" w:color="auto"/>
        <w:right w:val="none" w:sz="0" w:space="0" w:color="auto"/>
      </w:divBdr>
    </w:div>
    <w:div w:id="233124374">
      <w:bodyDiv w:val="1"/>
      <w:marLeft w:val="0"/>
      <w:marRight w:val="0"/>
      <w:marTop w:val="0"/>
      <w:marBottom w:val="0"/>
      <w:divBdr>
        <w:top w:val="none" w:sz="0" w:space="0" w:color="auto"/>
        <w:left w:val="none" w:sz="0" w:space="0" w:color="auto"/>
        <w:bottom w:val="none" w:sz="0" w:space="0" w:color="auto"/>
        <w:right w:val="none" w:sz="0" w:space="0" w:color="auto"/>
      </w:divBdr>
    </w:div>
    <w:div w:id="250508837">
      <w:bodyDiv w:val="1"/>
      <w:marLeft w:val="0"/>
      <w:marRight w:val="0"/>
      <w:marTop w:val="0"/>
      <w:marBottom w:val="0"/>
      <w:divBdr>
        <w:top w:val="none" w:sz="0" w:space="0" w:color="auto"/>
        <w:left w:val="none" w:sz="0" w:space="0" w:color="auto"/>
        <w:bottom w:val="none" w:sz="0" w:space="0" w:color="auto"/>
        <w:right w:val="none" w:sz="0" w:space="0" w:color="auto"/>
      </w:divBdr>
    </w:div>
    <w:div w:id="263269465">
      <w:bodyDiv w:val="1"/>
      <w:marLeft w:val="0"/>
      <w:marRight w:val="0"/>
      <w:marTop w:val="0"/>
      <w:marBottom w:val="0"/>
      <w:divBdr>
        <w:top w:val="none" w:sz="0" w:space="0" w:color="auto"/>
        <w:left w:val="none" w:sz="0" w:space="0" w:color="auto"/>
        <w:bottom w:val="none" w:sz="0" w:space="0" w:color="auto"/>
        <w:right w:val="none" w:sz="0" w:space="0" w:color="auto"/>
      </w:divBdr>
    </w:div>
    <w:div w:id="263850821">
      <w:bodyDiv w:val="1"/>
      <w:marLeft w:val="0"/>
      <w:marRight w:val="0"/>
      <w:marTop w:val="0"/>
      <w:marBottom w:val="0"/>
      <w:divBdr>
        <w:top w:val="none" w:sz="0" w:space="0" w:color="auto"/>
        <w:left w:val="none" w:sz="0" w:space="0" w:color="auto"/>
        <w:bottom w:val="none" w:sz="0" w:space="0" w:color="auto"/>
        <w:right w:val="none" w:sz="0" w:space="0" w:color="auto"/>
      </w:divBdr>
    </w:div>
    <w:div w:id="364406213">
      <w:bodyDiv w:val="1"/>
      <w:marLeft w:val="0"/>
      <w:marRight w:val="0"/>
      <w:marTop w:val="0"/>
      <w:marBottom w:val="0"/>
      <w:divBdr>
        <w:top w:val="none" w:sz="0" w:space="0" w:color="auto"/>
        <w:left w:val="none" w:sz="0" w:space="0" w:color="auto"/>
        <w:bottom w:val="none" w:sz="0" w:space="0" w:color="auto"/>
        <w:right w:val="none" w:sz="0" w:space="0" w:color="auto"/>
      </w:divBdr>
    </w:div>
    <w:div w:id="396590097">
      <w:bodyDiv w:val="1"/>
      <w:marLeft w:val="0"/>
      <w:marRight w:val="0"/>
      <w:marTop w:val="0"/>
      <w:marBottom w:val="0"/>
      <w:divBdr>
        <w:top w:val="none" w:sz="0" w:space="0" w:color="auto"/>
        <w:left w:val="none" w:sz="0" w:space="0" w:color="auto"/>
        <w:bottom w:val="none" w:sz="0" w:space="0" w:color="auto"/>
        <w:right w:val="none" w:sz="0" w:space="0" w:color="auto"/>
      </w:divBdr>
    </w:div>
    <w:div w:id="405761843">
      <w:bodyDiv w:val="1"/>
      <w:marLeft w:val="0"/>
      <w:marRight w:val="0"/>
      <w:marTop w:val="0"/>
      <w:marBottom w:val="0"/>
      <w:divBdr>
        <w:top w:val="none" w:sz="0" w:space="0" w:color="auto"/>
        <w:left w:val="none" w:sz="0" w:space="0" w:color="auto"/>
        <w:bottom w:val="none" w:sz="0" w:space="0" w:color="auto"/>
        <w:right w:val="none" w:sz="0" w:space="0" w:color="auto"/>
      </w:divBdr>
    </w:div>
    <w:div w:id="408432367">
      <w:bodyDiv w:val="1"/>
      <w:marLeft w:val="0"/>
      <w:marRight w:val="0"/>
      <w:marTop w:val="0"/>
      <w:marBottom w:val="0"/>
      <w:divBdr>
        <w:top w:val="none" w:sz="0" w:space="0" w:color="auto"/>
        <w:left w:val="none" w:sz="0" w:space="0" w:color="auto"/>
        <w:bottom w:val="none" w:sz="0" w:space="0" w:color="auto"/>
        <w:right w:val="none" w:sz="0" w:space="0" w:color="auto"/>
      </w:divBdr>
    </w:div>
    <w:div w:id="421998349">
      <w:bodyDiv w:val="1"/>
      <w:marLeft w:val="0"/>
      <w:marRight w:val="0"/>
      <w:marTop w:val="0"/>
      <w:marBottom w:val="0"/>
      <w:divBdr>
        <w:top w:val="none" w:sz="0" w:space="0" w:color="auto"/>
        <w:left w:val="none" w:sz="0" w:space="0" w:color="auto"/>
        <w:bottom w:val="none" w:sz="0" w:space="0" w:color="auto"/>
        <w:right w:val="none" w:sz="0" w:space="0" w:color="auto"/>
      </w:divBdr>
    </w:div>
    <w:div w:id="437066298">
      <w:bodyDiv w:val="1"/>
      <w:marLeft w:val="0"/>
      <w:marRight w:val="0"/>
      <w:marTop w:val="0"/>
      <w:marBottom w:val="0"/>
      <w:divBdr>
        <w:top w:val="none" w:sz="0" w:space="0" w:color="auto"/>
        <w:left w:val="none" w:sz="0" w:space="0" w:color="auto"/>
        <w:bottom w:val="none" w:sz="0" w:space="0" w:color="auto"/>
        <w:right w:val="none" w:sz="0" w:space="0" w:color="auto"/>
      </w:divBdr>
    </w:div>
    <w:div w:id="446774836">
      <w:bodyDiv w:val="1"/>
      <w:marLeft w:val="0"/>
      <w:marRight w:val="0"/>
      <w:marTop w:val="0"/>
      <w:marBottom w:val="0"/>
      <w:divBdr>
        <w:top w:val="none" w:sz="0" w:space="0" w:color="auto"/>
        <w:left w:val="none" w:sz="0" w:space="0" w:color="auto"/>
        <w:bottom w:val="none" w:sz="0" w:space="0" w:color="auto"/>
        <w:right w:val="none" w:sz="0" w:space="0" w:color="auto"/>
      </w:divBdr>
    </w:div>
    <w:div w:id="451167263">
      <w:bodyDiv w:val="1"/>
      <w:marLeft w:val="0"/>
      <w:marRight w:val="0"/>
      <w:marTop w:val="0"/>
      <w:marBottom w:val="0"/>
      <w:divBdr>
        <w:top w:val="none" w:sz="0" w:space="0" w:color="auto"/>
        <w:left w:val="none" w:sz="0" w:space="0" w:color="auto"/>
        <w:bottom w:val="none" w:sz="0" w:space="0" w:color="auto"/>
        <w:right w:val="none" w:sz="0" w:space="0" w:color="auto"/>
      </w:divBdr>
    </w:div>
    <w:div w:id="503210733">
      <w:bodyDiv w:val="1"/>
      <w:marLeft w:val="0"/>
      <w:marRight w:val="0"/>
      <w:marTop w:val="0"/>
      <w:marBottom w:val="0"/>
      <w:divBdr>
        <w:top w:val="none" w:sz="0" w:space="0" w:color="auto"/>
        <w:left w:val="none" w:sz="0" w:space="0" w:color="auto"/>
        <w:bottom w:val="none" w:sz="0" w:space="0" w:color="auto"/>
        <w:right w:val="none" w:sz="0" w:space="0" w:color="auto"/>
      </w:divBdr>
    </w:div>
    <w:div w:id="563302296">
      <w:bodyDiv w:val="1"/>
      <w:marLeft w:val="0"/>
      <w:marRight w:val="0"/>
      <w:marTop w:val="0"/>
      <w:marBottom w:val="0"/>
      <w:divBdr>
        <w:top w:val="none" w:sz="0" w:space="0" w:color="auto"/>
        <w:left w:val="none" w:sz="0" w:space="0" w:color="auto"/>
        <w:bottom w:val="none" w:sz="0" w:space="0" w:color="auto"/>
        <w:right w:val="none" w:sz="0" w:space="0" w:color="auto"/>
      </w:divBdr>
    </w:div>
    <w:div w:id="597522051">
      <w:bodyDiv w:val="1"/>
      <w:marLeft w:val="0"/>
      <w:marRight w:val="0"/>
      <w:marTop w:val="0"/>
      <w:marBottom w:val="0"/>
      <w:divBdr>
        <w:top w:val="none" w:sz="0" w:space="0" w:color="auto"/>
        <w:left w:val="none" w:sz="0" w:space="0" w:color="auto"/>
        <w:bottom w:val="none" w:sz="0" w:space="0" w:color="auto"/>
        <w:right w:val="none" w:sz="0" w:space="0" w:color="auto"/>
      </w:divBdr>
    </w:div>
    <w:div w:id="607586250">
      <w:bodyDiv w:val="1"/>
      <w:marLeft w:val="0"/>
      <w:marRight w:val="0"/>
      <w:marTop w:val="0"/>
      <w:marBottom w:val="0"/>
      <w:divBdr>
        <w:top w:val="none" w:sz="0" w:space="0" w:color="auto"/>
        <w:left w:val="none" w:sz="0" w:space="0" w:color="auto"/>
        <w:bottom w:val="none" w:sz="0" w:space="0" w:color="auto"/>
        <w:right w:val="none" w:sz="0" w:space="0" w:color="auto"/>
      </w:divBdr>
    </w:div>
    <w:div w:id="633683454">
      <w:bodyDiv w:val="1"/>
      <w:marLeft w:val="0"/>
      <w:marRight w:val="0"/>
      <w:marTop w:val="0"/>
      <w:marBottom w:val="0"/>
      <w:divBdr>
        <w:top w:val="none" w:sz="0" w:space="0" w:color="auto"/>
        <w:left w:val="none" w:sz="0" w:space="0" w:color="auto"/>
        <w:bottom w:val="none" w:sz="0" w:space="0" w:color="auto"/>
        <w:right w:val="none" w:sz="0" w:space="0" w:color="auto"/>
      </w:divBdr>
    </w:div>
    <w:div w:id="639963205">
      <w:bodyDiv w:val="1"/>
      <w:marLeft w:val="0"/>
      <w:marRight w:val="0"/>
      <w:marTop w:val="0"/>
      <w:marBottom w:val="0"/>
      <w:divBdr>
        <w:top w:val="none" w:sz="0" w:space="0" w:color="auto"/>
        <w:left w:val="none" w:sz="0" w:space="0" w:color="auto"/>
        <w:bottom w:val="none" w:sz="0" w:space="0" w:color="auto"/>
        <w:right w:val="none" w:sz="0" w:space="0" w:color="auto"/>
      </w:divBdr>
    </w:div>
    <w:div w:id="649672367">
      <w:bodyDiv w:val="1"/>
      <w:marLeft w:val="0"/>
      <w:marRight w:val="0"/>
      <w:marTop w:val="0"/>
      <w:marBottom w:val="0"/>
      <w:divBdr>
        <w:top w:val="none" w:sz="0" w:space="0" w:color="auto"/>
        <w:left w:val="none" w:sz="0" w:space="0" w:color="auto"/>
        <w:bottom w:val="none" w:sz="0" w:space="0" w:color="auto"/>
        <w:right w:val="none" w:sz="0" w:space="0" w:color="auto"/>
      </w:divBdr>
    </w:div>
    <w:div w:id="652369937">
      <w:bodyDiv w:val="1"/>
      <w:marLeft w:val="0"/>
      <w:marRight w:val="0"/>
      <w:marTop w:val="0"/>
      <w:marBottom w:val="0"/>
      <w:divBdr>
        <w:top w:val="none" w:sz="0" w:space="0" w:color="auto"/>
        <w:left w:val="none" w:sz="0" w:space="0" w:color="auto"/>
        <w:bottom w:val="none" w:sz="0" w:space="0" w:color="auto"/>
        <w:right w:val="none" w:sz="0" w:space="0" w:color="auto"/>
      </w:divBdr>
    </w:div>
    <w:div w:id="671375024">
      <w:bodyDiv w:val="1"/>
      <w:marLeft w:val="0"/>
      <w:marRight w:val="0"/>
      <w:marTop w:val="0"/>
      <w:marBottom w:val="0"/>
      <w:divBdr>
        <w:top w:val="none" w:sz="0" w:space="0" w:color="auto"/>
        <w:left w:val="none" w:sz="0" w:space="0" w:color="auto"/>
        <w:bottom w:val="none" w:sz="0" w:space="0" w:color="auto"/>
        <w:right w:val="none" w:sz="0" w:space="0" w:color="auto"/>
      </w:divBdr>
    </w:div>
    <w:div w:id="679359306">
      <w:bodyDiv w:val="1"/>
      <w:marLeft w:val="0"/>
      <w:marRight w:val="0"/>
      <w:marTop w:val="0"/>
      <w:marBottom w:val="0"/>
      <w:divBdr>
        <w:top w:val="none" w:sz="0" w:space="0" w:color="auto"/>
        <w:left w:val="none" w:sz="0" w:space="0" w:color="auto"/>
        <w:bottom w:val="none" w:sz="0" w:space="0" w:color="auto"/>
        <w:right w:val="none" w:sz="0" w:space="0" w:color="auto"/>
      </w:divBdr>
      <w:divsChild>
        <w:div w:id="1060176257">
          <w:marLeft w:val="0"/>
          <w:marRight w:val="0"/>
          <w:marTop w:val="0"/>
          <w:marBottom w:val="0"/>
          <w:divBdr>
            <w:top w:val="none" w:sz="0" w:space="0" w:color="auto"/>
            <w:left w:val="none" w:sz="0" w:space="0" w:color="auto"/>
            <w:bottom w:val="none" w:sz="0" w:space="0" w:color="auto"/>
            <w:right w:val="none" w:sz="0" w:space="0" w:color="auto"/>
          </w:divBdr>
        </w:div>
        <w:div w:id="986856090">
          <w:marLeft w:val="0"/>
          <w:marRight w:val="0"/>
          <w:marTop w:val="0"/>
          <w:marBottom w:val="0"/>
          <w:divBdr>
            <w:top w:val="none" w:sz="0" w:space="0" w:color="auto"/>
            <w:left w:val="none" w:sz="0" w:space="0" w:color="auto"/>
            <w:bottom w:val="none" w:sz="0" w:space="0" w:color="auto"/>
            <w:right w:val="none" w:sz="0" w:space="0" w:color="auto"/>
          </w:divBdr>
        </w:div>
        <w:div w:id="908072229">
          <w:marLeft w:val="0"/>
          <w:marRight w:val="0"/>
          <w:marTop w:val="0"/>
          <w:marBottom w:val="0"/>
          <w:divBdr>
            <w:top w:val="none" w:sz="0" w:space="0" w:color="auto"/>
            <w:left w:val="none" w:sz="0" w:space="0" w:color="auto"/>
            <w:bottom w:val="none" w:sz="0" w:space="0" w:color="auto"/>
            <w:right w:val="none" w:sz="0" w:space="0" w:color="auto"/>
          </w:divBdr>
        </w:div>
      </w:divsChild>
    </w:div>
    <w:div w:id="706419190">
      <w:bodyDiv w:val="1"/>
      <w:marLeft w:val="0"/>
      <w:marRight w:val="0"/>
      <w:marTop w:val="0"/>
      <w:marBottom w:val="0"/>
      <w:divBdr>
        <w:top w:val="none" w:sz="0" w:space="0" w:color="auto"/>
        <w:left w:val="none" w:sz="0" w:space="0" w:color="auto"/>
        <w:bottom w:val="none" w:sz="0" w:space="0" w:color="auto"/>
        <w:right w:val="none" w:sz="0" w:space="0" w:color="auto"/>
      </w:divBdr>
    </w:div>
    <w:div w:id="706562397">
      <w:bodyDiv w:val="1"/>
      <w:marLeft w:val="0"/>
      <w:marRight w:val="0"/>
      <w:marTop w:val="0"/>
      <w:marBottom w:val="0"/>
      <w:divBdr>
        <w:top w:val="none" w:sz="0" w:space="0" w:color="auto"/>
        <w:left w:val="none" w:sz="0" w:space="0" w:color="auto"/>
        <w:bottom w:val="none" w:sz="0" w:space="0" w:color="auto"/>
        <w:right w:val="none" w:sz="0" w:space="0" w:color="auto"/>
      </w:divBdr>
    </w:div>
    <w:div w:id="717819263">
      <w:bodyDiv w:val="1"/>
      <w:marLeft w:val="0"/>
      <w:marRight w:val="0"/>
      <w:marTop w:val="0"/>
      <w:marBottom w:val="0"/>
      <w:divBdr>
        <w:top w:val="none" w:sz="0" w:space="0" w:color="auto"/>
        <w:left w:val="none" w:sz="0" w:space="0" w:color="auto"/>
        <w:bottom w:val="none" w:sz="0" w:space="0" w:color="auto"/>
        <w:right w:val="none" w:sz="0" w:space="0" w:color="auto"/>
      </w:divBdr>
    </w:div>
    <w:div w:id="739711284">
      <w:bodyDiv w:val="1"/>
      <w:marLeft w:val="0"/>
      <w:marRight w:val="0"/>
      <w:marTop w:val="0"/>
      <w:marBottom w:val="0"/>
      <w:divBdr>
        <w:top w:val="none" w:sz="0" w:space="0" w:color="auto"/>
        <w:left w:val="none" w:sz="0" w:space="0" w:color="auto"/>
        <w:bottom w:val="none" w:sz="0" w:space="0" w:color="auto"/>
        <w:right w:val="none" w:sz="0" w:space="0" w:color="auto"/>
      </w:divBdr>
    </w:div>
    <w:div w:id="778256109">
      <w:bodyDiv w:val="1"/>
      <w:marLeft w:val="0"/>
      <w:marRight w:val="0"/>
      <w:marTop w:val="0"/>
      <w:marBottom w:val="0"/>
      <w:divBdr>
        <w:top w:val="none" w:sz="0" w:space="0" w:color="auto"/>
        <w:left w:val="none" w:sz="0" w:space="0" w:color="auto"/>
        <w:bottom w:val="none" w:sz="0" w:space="0" w:color="auto"/>
        <w:right w:val="none" w:sz="0" w:space="0" w:color="auto"/>
      </w:divBdr>
    </w:div>
    <w:div w:id="792794391">
      <w:bodyDiv w:val="1"/>
      <w:marLeft w:val="0"/>
      <w:marRight w:val="0"/>
      <w:marTop w:val="0"/>
      <w:marBottom w:val="0"/>
      <w:divBdr>
        <w:top w:val="none" w:sz="0" w:space="0" w:color="auto"/>
        <w:left w:val="none" w:sz="0" w:space="0" w:color="auto"/>
        <w:bottom w:val="none" w:sz="0" w:space="0" w:color="auto"/>
        <w:right w:val="none" w:sz="0" w:space="0" w:color="auto"/>
      </w:divBdr>
    </w:div>
    <w:div w:id="806632287">
      <w:bodyDiv w:val="1"/>
      <w:marLeft w:val="0"/>
      <w:marRight w:val="0"/>
      <w:marTop w:val="0"/>
      <w:marBottom w:val="0"/>
      <w:divBdr>
        <w:top w:val="none" w:sz="0" w:space="0" w:color="auto"/>
        <w:left w:val="none" w:sz="0" w:space="0" w:color="auto"/>
        <w:bottom w:val="none" w:sz="0" w:space="0" w:color="auto"/>
        <w:right w:val="none" w:sz="0" w:space="0" w:color="auto"/>
      </w:divBdr>
    </w:div>
    <w:div w:id="812411106">
      <w:bodyDiv w:val="1"/>
      <w:marLeft w:val="0"/>
      <w:marRight w:val="0"/>
      <w:marTop w:val="0"/>
      <w:marBottom w:val="0"/>
      <w:divBdr>
        <w:top w:val="none" w:sz="0" w:space="0" w:color="auto"/>
        <w:left w:val="none" w:sz="0" w:space="0" w:color="auto"/>
        <w:bottom w:val="none" w:sz="0" w:space="0" w:color="auto"/>
        <w:right w:val="none" w:sz="0" w:space="0" w:color="auto"/>
      </w:divBdr>
    </w:div>
    <w:div w:id="824861642">
      <w:bodyDiv w:val="1"/>
      <w:marLeft w:val="0"/>
      <w:marRight w:val="0"/>
      <w:marTop w:val="0"/>
      <w:marBottom w:val="0"/>
      <w:divBdr>
        <w:top w:val="none" w:sz="0" w:space="0" w:color="auto"/>
        <w:left w:val="none" w:sz="0" w:space="0" w:color="auto"/>
        <w:bottom w:val="none" w:sz="0" w:space="0" w:color="auto"/>
        <w:right w:val="none" w:sz="0" w:space="0" w:color="auto"/>
      </w:divBdr>
    </w:div>
    <w:div w:id="920716830">
      <w:bodyDiv w:val="1"/>
      <w:marLeft w:val="0"/>
      <w:marRight w:val="0"/>
      <w:marTop w:val="0"/>
      <w:marBottom w:val="0"/>
      <w:divBdr>
        <w:top w:val="none" w:sz="0" w:space="0" w:color="auto"/>
        <w:left w:val="none" w:sz="0" w:space="0" w:color="auto"/>
        <w:bottom w:val="none" w:sz="0" w:space="0" w:color="auto"/>
        <w:right w:val="none" w:sz="0" w:space="0" w:color="auto"/>
      </w:divBdr>
    </w:div>
    <w:div w:id="925192666">
      <w:bodyDiv w:val="1"/>
      <w:marLeft w:val="0"/>
      <w:marRight w:val="0"/>
      <w:marTop w:val="0"/>
      <w:marBottom w:val="0"/>
      <w:divBdr>
        <w:top w:val="none" w:sz="0" w:space="0" w:color="auto"/>
        <w:left w:val="none" w:sz="0" w:space="0" w:color="auto"/>
        <w:bottom w:val="none" w:sz="0" w:space="0" w:color="auto"/>
        <w:right w:val="none" w:sz="0" w:space="0" w:color="auto"/>
      </w:divBdr>
    </w:div>
    <w:div w:id="991832623">
      <w:bodyDiv w:val="1"/>
      <w:marLeft w:val="0"/>
      <w:marRight w:val="0"/>
      <w:marTop w:val="0"/>
      <w:marBottom w:val="0"/>
      <w:divBdr>
        <w:top w:val="none" w:sz="0" w:space="0" w:color="auto"/>
        <w:left w:val="none" w:sz="0" w:space="0" w:color="auto"/>
        <w:bottom w:val="none" w:sz="0" w:space="0" w:color="auto"/>
        <w:right w:val="none" w:sz="0" w:space="0" w:color="auto"/>
      </w:divBdr>
    </w:div>
    <w:div w:id="1082411071">
      <w:bodyDiv w:val="1"/>
      <w:marLeft w:val="0"/>
      <w:marRight w:val="0"/>
      <w:marTop w:val="0"/>
      <w:marBottom w:val="0"/>
      <w:divBdr>
        <w:top w:val="none" w:sz="0" w:space="0" w:color="auto"/>
        <w:left w:val="none" w:sz="0" w:space="0" w:color="auto"/>
        <w:bottom w:val="none" w:sz="0" w:space="0" w:color="auto"/>
        <w:right w:val="none" w:sz="0" w:space="0" w:color="auto"/>
      </w:divBdr>
    </w:div>
    <w:div w:id="1123957385">
      <w:bodyDiv w:val="1"/>
      <w:marLeft w:val="0"/>
      <w:marRight w:val="0"/>
      <w:marTop w:val="0"/>
      <w:marBottom w:val="0"/>
      <w:divBdr>
        <w:top w:val="none" w:sz="0" w:space="0" w:color="auto"/>
        <w:left w:val="none" w:sz="0" w:space="0" w:color="auto"/>
        <w:bottom w:val="none" w:sz="0" w:space="0" w:color="auto"/>
        <w:right w:val="none" w:sz="0" w:space="0" w:color="auto"/>
      </w:divBdr>
    </w:div>
    <w:div w:id="1126701074">
      <w:bodyDiv w:val="1"/>
      <w:marLeft w:val="0"/>
      <w:marRight w:val="0"/>
      <w:marTop w:val="0"/>
      <w:marBottom w:val="0"/>
      <w:divBdr>
        <w:top w:val="none" w:sz="0" w:space="0" w:color="auto"/>
        <w:left w:val="none" w:sz="0" w:space="0" w:color="auto"/>
        <w:bottom w:val="none" w:sz="0" w:space="0" w:color="auto"/>
        <w:right w:val="none" w:sz="0" w:space="0" w:color="auto"/>
      </w:divBdr>
    </w:div>
    <w:div w:id="1135757880">
      <w:bodyDiv w:val="1"/>
      <w:marLeft w:val="0"/>
      <w:marRight w:val="0"/>
      <w:marTop w:val="0"/>
      <w:marBottom w:val="0"/>
      <w:divBdr>
        <w:top w:val="none" w:sz="0" w:space="0" w:color="auto"/>
        <w:left w:val="none" w:sz="0" w:space="0" w:color="auto"/>
        <w:bottom w:val="none" w:sz="0" w:space="0" w:color="auto"/>
        <w:right w:val="none" w:sz="0" w:space="0" w:color="auto"/>
      </w:divBdr>
    </w:div>
    <w:div w:id="1141074174">
      <w:bodyDiv w:val="1"/>
      <w:marLeft w:val="0"/>
      <w:marRight w:val="0"/>
      <w:marTop w:val="0"/>
      <w:marBottom w:val="0"/>
      <w:divBdr>
        <w:top w:val="none" w:sz="0" w:space="0" w:color="auto"/>
        <w:left w:val="none" w:sz="0" w:space="0" w:color="auto"/>
        <w:bottom w:val="none" w:sz="0" w:space="0" w:color="auto"/>
        <w:right w:val="none" w:sz="0" w:space="0" w:color="auto"/>
      </w:divBdr>
    </w:div>
    <w:div w:id="1152674277">
      <w:bodyDiv w:val="1"/>
      <w:marLeft w:val="0"/>
      <w:marRight w:val="0"/>
      <w:marTop w:val="0"/>
      <w:marBottom w:val="0"/>
      <w:divBdr>
        <w:top w:val="none" w:sz="0" w:space="0" w:color="auto"/>
        <w:left w:val="none" w:sz="0" w:space="0" w:color="auto"/>
        <w:bottom w:val="none" w:sz="0" w:space="0" w:color="auto"/>
        <w:right w:val="none" w:sz="0" w:space="0" w:color="auto"/>
      </w:divBdr>
    </w:div>
    <w:div w:id="1171064797">
      <w:bodyDiv w:val="1"/>
      <w:marLeft w:val="0"/>
      <w:marRight w:val="0"/>
      <w:marTop w:val="0"/>
      <w:marBottom w:val="0"/>
      <w:divBdr>
        <w:top w:val="none" w:sz="0" w:space="0" w:color="auto"/>
        <w:left w:val="none" w:sz="0" w:space="0" w:color="auto"/>
        <w:bottom w:val="none" w:sz="0" w:space="0" w:color="auto"/>
        <w:right w:val="none" w:sz="0" w:space="0" w:color="auto"/>
      </w:divBdr>
    </w:div>
    <w:div w:id="1177770342">
      <w:bodyDiv w:val="1"/>
      <w:marLeft w:val="0"/>
      <w:marRight w:val="0"/>
      <w:marTop w:val="0"/>
      <w:marBottom w:val="0"/>
      <w:divBdr>
        <w:top w:val="none" w:sz="0" w:space="0" w:color="auto"/>
        <w:left w:val="none" w:sz="0" w:space="0" w:color="auto"/>
        <w:bottom w:val="none" w:sz="0" w:space="0" w:color="auto"/>
        <w:right w:val="none" w:sz="0" w:space="0" w:color="auto"/>
      </w:divBdr>
    </w:div>
    <w:div w:id="1182012169">
      <w:bodyDiv w:val="1"/>
      <w:marLeft w:val="0"/>
      <w:marRight w:val="0"/>
      <w:marTop w:val="0"/>
      <w:marBottom w:val="0"/>
      <w:divBdr>
        <w:top w:val="none" w:sz="0" w:space="0" w:color="auto"/>
        <w:left w:val="none" w:sz="0" w:space="0" w:color="auto"/>
        <w:bottom w:val="none" w:sz="0" w:space="0" w:color="auto"/>
        <w:right w:val="none" w:sz="0" w:space="0" w:color="auto"/>
      </w:divBdr>
    </w:div>
    <w:div w:id="1254389171">
      <w:bodyDiv w:val="1"/>
      <w:marLeft w:val="0"/>
      <w:marRight w:val="0"/>
      <w:marTop w:val="0"/>
      <w:marBottom w:val="0"/>
      <w:divBdr>
        <w:top w:val="none" w:sz="0" w:space="0" w:color="auto"/>
        <w:left w:val="none" w:sz="0" w:space="0" w:color="auto"/>
        <w:bottom w:val="none" w:sz="0" w:space="0" w:color="auto"/>
        <w:right w:val="none" w:sz="0" w:space="0" w:color="auto"/>
      </w:divBdr>
    </w:div>
    <w:div w:id="1255090651">
      <w:bodyDiv w:val="1"/>
      <w:marLeft w:val="0"/>
      <w:marRight w:val="0"/>
      <w:marTop w:val="0"/>
      <w:marBottom w:val="0"/>
      <w:divBdr>
        <w:top w:val="none" w:sz="0" w:space="0" w:color="auto"/>
        <w:left w:val="none" w:sz="0" w:space="0" w:color="auto"/>
        <w:bottom w:val="none" w:sz="0" w:space="0" w:color="auto"/>
        <w:right w:val="none" w:sz="0" w:space="0" w:color="auto"/>
      </w:divBdr>
    </w:div>
    <w:div w:id="1289774440">
      <w:bodyDiv w:val="1"/>
      <w:marLeft w:val="0"/>
      <w:marRight w:val="0"/>
      <w:marTop w:val="0"/>
      <w:marBottom w:val="0"/>
      <w:divBdr>
        <w:top w:val="none" w:sz="0" w:space="0" w:color="auto"/>
        <w:left w:val="none" w:sz="0" w:space="0" w:color="auto"/>
        <w:bottom w:val="none" w:sz="0" w:space="0" w:color="auto"/>
        <w:right w:val="none" w:sz="0" w:space="0" w:color="auto"/>
      </w:divBdr>
    </w:div>
    <w:div w:id="1295671805">
      <w:bodyDiv w:val="1"/>
      <w:marLeft w:val="0"/>
      <w:marRight w:val="0"/>
      <w:marTop w:val="0"/>
      <w:marBottom w:val="0"/>
      <w:divBdr>
        <w:top w:val="none" w:sz="0" w:space="0" w:color="auto"/>
        <w:left w:val="none" w:sz="0" w:space="0" w:color="auto"/>
        <w:bottom w:val="none" w:sz="0" w:space="0" w:color="auto"/>
        <w:right w:val="none" w:sz="0" w:space="0" w:color="auto"/>
      </w:divBdr>
    </w:div>
    <w:div w:id="1302273537">
      <w:bodyDiv w:val="1"/>
      <w:marLeft w:val="0"/>
      <w:marRight w:val="0"/>
      <w:marTop w:val="0"/>
      <w:marBottom w:val="0"/>
      <w:divBdr>
        <w:top w:val="none" w:sz="0" w:space="0" w:color="auto"/>
        <w:left w:val="none" w:sz="0" w:space="0" w:color="auto"/>
        <w:bottom w:val="none" w:sz="0" w:space="0" w:color="auto"/>
        <w:right w:val="none" w:sz="0" w:space="0" w:color="auto"/>
      </w:divBdr>
    </w:div>
    <w:div w:id="1323436809">
      <w:bodyDiv w:val="1"/>
      <w:marLeft w:val="0"/>
      <w:marRight w:val="0"/>
      <w:marTop w:val="0"/>
      <w:marBottom w:val="0"/>
      <w:divBdr>
        <w:top w:val="none" w:sz="0" w:space="0" w:color="auto"/>
        <w:left w:val="none" w:sz="0" w:space="0" w:color="auto"/>
        <w:bottom w:val="none" w:sz="0" w:space="0" w:color="auto"/>
        <w:right w:val="none" w:sz="0" w:space="0" w:color="auto"/>
      </w:divBdr>
    </w:div>
    <w:div w:id="1336490530">
      <w:bodyDiv w:val="1"/>
      <w:marLeft w:val="0"/>
      <w:marRight w:val="0"/>
      <w:marTop w:val="0"/>
      <w:marBottom w:val="0"/>
      <w:divBdr>
        <w:top w:val="none" w:sz="0" w:space="0" w:color="auto"/>
        <w:left w:val="none" w:sz="0" w:space="0" w:color="auto"/>
        <w:bottom w:val="none" w:sz="0" w:space="0" w:color="auto"/>
        <w:right w:val="none" w:sz="0" w:space="0" w:color="auto"/>
      </w:divBdr>
    </w:div>
    <w:div w:id="1345325542">
      <w:bodyDiv w:val="1"/>
      <w:marLeft w:val="0"/>
      <w:marRight w:val="0"/>
      <w:marTop w:val="0"/>
      <w:marBottom w:val="0"/>
      <w:divBdr>
        <w:top w:val="none" w:sz="0" w:space="0" w:color="auto"/>
        <w:left w:val="none" w:sz="0" w:space="0" w:color="auto"/>
        <w:bottom w:val="none" w:sz="0" w:space="0" w:color="auto"/>
        <w:right w:val="none" w:sz="0" w:space="0" w:color="auto"/>
      </w:divBdr>
    </w:div>
    <w:div w:id="1416972380">
      <w:bodyDiv w:val="1"/>
      <w:marLeft w:val="0"/>
      <w:marRight w:val="0"/>
      <w:marTop w:val="0"/>
      <w:marBottom w:val="0"/>
      <w:divBdr>
        <w:top w:val="none" w:sz="0" w:space="0" w:color="auto"/>
        <w:left w:val="none" w:sz="0" w:space="0" w:color="auto"/>
        <w:bottom w:val="none" w:sz="0" w:space="0" w:color="auto"/>
        <w:right w:val="none" w:sz="0" w:space="0" w:color="auto"/>
      </w:divBdr>
    </w:div>
    <w:div w:id="1457942620">
      <w:bodyDiv w:val="1"/>
      <w:marLeft w:val="0"/>
      <w:marRight w:val="0"/>
      <w:marTop w:val="0"/>
      <w:marBottom w:val="0"/>
      <w:divBdr>
        <w:top w:val="none" w:sz="0" w:space="0" w:color="auto"/>
        <w:left w:val="none" w:sz="0" w:space="0" w:color="auto"/>
        <w:bottom w:val="none" w:sz="0" w:space="0" w:color="auto"/>
        <w:right w:val="none" w:sz="0" w:space="0" w:color="auto"/>
      </w:divBdr>
    </w:div>
    <w:div w:id="1463645974">
      <w:bodyDiv w:val="1"/>
      <w:marLeft w:val="0"/>
      <w:marRight w:val="0"/>
      <w:marTop w:val="0"/>
      <w:marBottom w:val="0"/>
      <w:divBdr>
        <w:top w:val="none" w:sz="0" w:space="0" w:color="auto"/>
        <w:left w:val="none" w:sz="0" w:space="0" w:color="auto"/>
        <w:bottom w:val="none" w:sz="0" w:space="0" w:color="auto"/>
        <w:right w:val="none" w:sz="0" w:space="0" w:color="auto"/>
      </w:divBdr>
    </w:div>
    <w:div w:id="1485583084">
      <w:bodyDiv w:val="1"/>
      <w:marLeft w:val="0"/>
      <w:marRight w:val="0"/>
      <w:marTop w:val="0"/>
      <w:marBottom w:val="0"/>
      <w:divBdr>
        <w:top w:val="none" w:sz="0" w:space="0" w:color="auto"/>
        <w:left w:val="none" w:sz="0" w:space="0" w:color="auto"/>
        <w:bottom w:val="none" w:sz="0" w:space="0" w:color="auto"/>
        <w:right w:val="none" w:sz="0" w:space="0" w:color="auto"/>
      </w:divBdr>
    </w:div>
    <w:div w:id="1508905043">
      <w:bodyDiv w:val="1"/>
      <w:marLeft w:val="0"/>
      <w:marRight w:val="0"/>
      <w:marTop w:val="0"/>
      <w:marBottom w:val="0"/>
      <w:divBdr>
        <w:top w:val="none" w:sz="0" w:space="0" w:color="auto"/>
        <w:left w:val="none" w:sz="0" w:space="0" w:color="auto"/>
        <w:bottom w:val="none" w:sz="0" w:space="0" w:color="auto"/>
        <w:right w:val="none" w:sz="0" w:space="0" w:color="auto"/>
      </w:divBdr>
    </w:div>
    <w:div w:id="1520004376">
      <w:bodyDiv w:val="1"/>
      <w:marLeft w:val="0"/>
      <w:marRight w:val="0"/>
      <w:marTop w:val="0"/>
      <w:marBottom w:val="0"/>
      <w:divBdr>
        <w:top w:val="none" w:sz="0" w:space="0" w:color="auto"/>
        <w:left w:val="none" w:sz="0" w:space="0" w:color="auto"/>
        <w:bottom w:val="none" w:sz="0" w:space="0" w:color="auto"/>
        <w:right w:val="none" w:sz="0" w:space="0" w:color="auto"/>
      </w:divBdr>
    </w:div>
    <w:div w:id="1540121638">
      <w:bodyDiv w:val="1"/>
      <w:marLeft w:val="0"/>
      <w:marRight w:val="0"/>
      <w:marTop w:val="0"/>
      <w:marBottom w:val="0"/>
      <w:divBdr>
        <w:top w:val="none" w:sz="0" w:space="0" w:color="auto"/>
        <w:left w:val="none" w:sz="0" w:space="0" w:color="auto"/>
        <w:bottom w:val="none" w:sz="0" w:space="0" w:color="auto"/>
        <w:right w:val="none" w:sz="0" w:space="0" w:color="auto"/>
      </w:divBdr>
    </w:div>
    <w:div w:id="1585341775">
      <w:bodyDiv w:val="1"/>
      <w:marLeft w:val="0"/>
      <w:marRight w:val="0"/>
      <w:marTop w:val="0"/>
      <w:marBottom w:val="0"/>
      <w:divBdr>
        <w:top w:val="none" w:sz="0" w:space="0" w:color="auto"/>
        <w:left w:val="none" w:sz="0" w:space="0" w:color="auto"/>
        <w:bottom w:val="none" w:sz="0" w:space="0" w:color="auto"/>
        <w:right w:val="none" w:sz="0" w:space="0" w:color="auto"/>
      </w:divBdr>
    </w:div>
    <w:div w:id="1632249529">
      <w:bodyDiv w:val="1"/>
      <w:marLeft w:val="0"/>
      <w:marRight w:val="0"/>
      <w:marTop w:val="0"/>
      <w:marBottom w:val="0"/>
      <w:divBdr>
        <w:top w:val="none" w:sz="0" w:space="0" w:color="auto"/>
        <w:left w:val="none" w:sz="0" w:space="0" w:color="auto"/>
        <w:bottom w:val="none" w:sz="0" w:space="0" w:color="auto"/>
        <w:right w:val="none" w:sz="0" w:space="0" w:color="auto"/>
      </w:divBdr>
    </w:div>
    <w:div w:id="1641381095">
      <w:bodyDiv w:val="1"/>
      <w:marLeft w:val="0"/>
      <w:marRight w:val="0"/>
      <w:marTop w:val="0"/>
      <w:marBottom w:val="0"/>
      <w:divBdr>
        <w:top w:val="none" w:sz="0" w:space="0" w:color="auto"/>
        <w:left w:val="none" w:sz="0" w:space="0" w:color="auto"/>
        <w:bottom w:val="none" w:sz="0" w:space="0" w:color="auto"/>
        <w:right w:val="none" w:sz="0" w:space="0" w:color="auto"/>
      </w:divBdr>
    </w:div>
    <w:div w:id="1642031859">
      <w:bodyDiv w:val="1"/>
      <w:marLeft w:val="0"/>
      <w:marRight w:val="0"/>
      <w:marTop w:val="0"/>
      <w:marBottom w:val="0"/>
      <w:divBdr>
        <w:top w:val="none" w:sz="0" w:space="0" w:color="auto"/>
        <w:left w:val="none" w:sz="0" w:space="0" w:color="auto"/>
        <w:bottom w:val="none" w:sz="0" w:space="0" w:color="auto"/>
        <w:right w:val="none" w:sz="0" w:space="0" w:color="auto"/>
      </w:divBdr>
    </w:div>
    <w:div w:id="1663658195">
      <w:bodyDiv w:val="1"/>
      <w:marLeft w:val="0"/>
      <w:marRight w:val="0"/>
      <w:marTop w:val="0"/>
      <w:marBottom w:val="0"/>
      <w:divBdr>
        <w:top w:val="none" w:sz="0" w:space="0" w:color="auto"/>
        <w:left w:val="none" w:sz="0" w:space="0" w:color="auto"/>
        <w:bottom w:val="none" w:sz="0" w:space="0" w:color="auto"/>
        <w:right w:val="none" w:sz="0" w:space="0" w:color="auto"/>
      </w:divBdr>
    </w:div>
    <w:div w:id="1666201518">
      <w:bodyDiv w:val="1"/>
      <w:marLeft w:val="0"/>
      <w:marRight w:val="0"/>
      <w:marTop w:val="0"/>
      <w:marBottom w:val="0"/>
      <w:divBdr>
        <w:top w:val="none" w:sz="0" w:space="0" w:color="auto"/>
        <w:left w:val="none" w:sz="0" w:space="0" w:color="auto"/>
        <w:bottom w:val="none" w:sz="0" w:space="0" w:color="auto"/>
        <w:right w:val="none" w:sz="0" w:space="0" w:color="auto"/>
      </w:divBdr>
    </w:div>
    <w:div w:id="1740786178">
      <w:bodyDiv w:val="1"/>
      <w:marLeft w:val="0"/>
      <w:marRight w:val="0"/>
      <w:marTop w:val="0"/>
      <w:marBottom w:val="0"/>
      <w:divBdr>
        <w:top w:val="none" w:sz="0" w:space="0" w:color="auto"/>
        <w:left w:val="none" w:sz="0" w:space="0" w:color="auto"/>
        <w:bottom w:val="none" w:sz="0" w:space="0" w:color="auto"/>
        <w:right w:val="none" w:sz="0" w:space="0" w:color="auto"/>
      </w:divBdr>
    </w:div>
    <w:div w:id="1741563229">
      <w:bodyDiv w:val="1"/>
      <w:marLeft w:val="0"/>
      <w:marRight w:val="0"/>
      <w:marTop w:val="0"/>
      <w:marBottom w:val="0"/>
      <w:divBdr>
        <w:top w:val="none" w:sz="0" w:space="0" w:color="auto"/>
        <w:left w:val="none" w:sz="0" w:space="0" w:color="auto"/>
        <w:bottom w:val="none" w:sz="0" w:space="0" w:color="auto"/>
        <w:right w:val="none" w:sz="0" w:space="0" w:color="auto"/>
      </w:divBdr>
    </w:div>
    <w:div w:id="1745299523">
      <w:bodyDiv w:val="1"/>
      <w:marLeft w:val="0"/>
      <w:marRight w:val="0"/>
      <w:marTop w:val="0"/>
      <w:marBottom w:val="0"/>
      <w:divBdr>
        <w:top w:val="none" w:sz="0" w:space="0" w:color="auto"/>
        <w:left w:val="none" w:sz="0" w:space="0" w:color="auto"/>
        <w:bottom w:val="none" w:sz="0" w:space="0" w:color="auto"/>
        <w:right w:val="none" w:sz="0" w:space="0" w:color="auto"/>
      </w:divBdr>
    </w:div>
    <w:div w:id="1816026244">
      <w:bodyDiv w:val="1"/>
      <w:marLeft w:val="0"/>
      <w:marRight w:val="0"/>
      <w:marTop w:val="0"/>
      <w:marBottom w:val="0"/>
      <w:divBdr>
        <w:top w:val="none" w:sz="0" w:space="0" w:color="auto"/>
        <w:left w:val="none" w:sz="0" w:space="0" w:color="auto"/>
        <w:bottom w:val="none" w:sz="0" w:space="0" w:color="auto"/>
        <w:right w:val="none" w:sz="0" w:space="0" w:color="auto"/>
      </w:divBdr>
    </w:div>
    <w:div w:id="1827282516">
      <w:bodyDiv w:val="1"/>
      <w:marLeft w:val="0"/>
      <w:marRight w:val="0"/>
      <w:marTop w:val="0"/>
      <w:marBottom w:val="0"/>
      <w:divBdr>
        <w:top w:val="none" w:sz="0" w:space="0" w:color="auto"/>
        <w:left w:val="none" w:sz="0" w:space="0" w:color="auto"/>
        <w:bottom w:val="none" w:sz="0" w:space="0" w:color="auto"/>
        <w:right w:val="none" w:sz="0" w:space="0" w:color="auto"/>
      </w:divBdr>
    </w:div>
    <w:div w:id="1865557957">
      <w:bodyDiv w:val="1"/>
      <w:marLeft w:val="0"/>
      <w:marRight w:val="0"/>
      <w:marTop w:val="0"/>
      <w:marBottom w:val="0"/>
      <w:divBdr>
        <w:top w:val="none" w:sz="0" w:space="0" w:color="auto"/>
        <w:left w:val="none" w:sz="0" w:space="0" w:color="auto"/>
        <w:bottom w:val="none" w:sz="0" w:space="0" w:color="auto"/>
        <w:right w:val="none" w:sz="0" w:space="0" w:color="auto"/>
      </w:divBdr>
    </w:div>
    <w:div w:id="1940065601">
      <w:bodyDiv w:val="1"/>
      <w:marLeft w:val="0"/>
      <w:marRight w:val="0"/>
      <w:marTop w:val="0"/>
      <w:marBottom w:val="0"/>
      <w:divBdr>
        <w:top w:val="none" w:sz="0" w:space="0" w:color="auto"/>
        <w:left w:val="none" w:sz="0" w:space="0" w:color="auto"/>
        <w:bottom w:val="none" w:sz="0" w:space="0" w:color="auto"/>
        <w:right w:val="none" w:sz="0" w:space="0" w:color="auto"/>
      </w:divBdr>
    </w:div>
    <w:div w:id="1968505361">
      <w:bodyDiv w:val="1"/>
      <w:marLeft w:val="0"/>
      <w:marRight w:val="0"/>
      <w:marTop w:val="0"/>
      <w:marBottom w:val="0"/>
      <w:divBdr>
        <w:top w:val="none" w:sz="0" w:space="0" w:color="auto"/>
        <w:left w:val="none" w:sz="0" w:space="0" w:color="auto"/>
        <w:bottom w:val="none" w:sz="0" w:space="0" w:color="auto"/>
        <w:right w:val="none" w:sz="0" w:space="0" w:color="auto"/>
      </w:divBdr>
    </w:div>
    <w:div w:id="1987388939">
      <w:bodyDiv w:val="1"/>
      <w:marLeft w:val="0"/>
      <w:marRight w:val="0"/>
      <w:marTop w:val="0"/>
      <w:marBottom w:val="0"/>
      <w:divBdr>
        <w:top w:val="none" w:sz="0" w:space="0" w:color="auto"/>
        <w:left w:val="none" w:sz="0" w:space="0" w:color="auto"/>
        <w:bottom w:val="none" w:sz="0" w:space="0" w:color="auto"/>
        <w:right w:val="none" w:sz="0" w:space="0" w:color="auto"/>
      </w:divBdr>
    </w:div>
    <w:div w:id="2009551887">
      <w:bodyDiv w:val="1"/>
      <w:marLeft w:val="0"/>
      <w:marRight w:val="0"/>
      <w:marTop w:val="0"/>
      <w:marBottom w:val="0"/>
      <w:divBdr>
        <w:top w:val="none" w:sz="0" w:space="0" w:color="auto"/>
        <w:left w:val="none" w:sz="0" w:space="0" w:color="auto"/>
        <w:bottom w:val="none" w:sz="0" w:space="0" w:color="auto"/>
        <w:right w:val="none" w:sz="0" w:space="0" w:color="auto"/>
      </w:divBdr>
    </w:div>
    <w:div w:id="2045011731">
      <w:bodyDiv w:val="1"/>
      <w:marLeft w:val="0"/>
      <w:marRight w:val="0"/>
      <w:marTop w:val="0"/>
      <w:marBottom w:val="0"/>
      <w:divBdr>
        <w:top w:val="none" w:sz="0" w:space="0" w:color="auto"/>
        <w:left w:val="none" w:sz="0" w:space="0" w:color="auto"/>
        <w:bottom w:val="none" w:sz="0" w:space="0" w:color="auto"/>
        <w:right w:val="none" w:sz="0" w:space="0" w:color="auto"/>
      </w:divBdr>
    </w:div>
    <w:div w:id="2078284507">
      <w:bodyDiv w:val="1"/>
      <w:marLeft w:val="0"/>
      <w:marRight w:val="0"/>
      <w:marTop w:val="0"/>
      <w:marBottom w:val="0"/>
      <w:divBdr>
        <w:top w:val="none" w:sz="0" w:space="0" w:color="auto"/>
        <w:left w:val="none" w:sz="0" w:space="0" w:color="auto"/>
        <w:bottom w:val="none" w:sz="0" w:space="0" w:color="auto"/>
        <w:right w:val="none" w:sz="0" w:space="0" w:color="auto"/>
      </w:divBdr>
    </w:div>
    <w:div w:id="2123838761">
      <w:bodyDiv w:val="1"/>
      <w:marLeft w:val="0"/>
      <w:marRight w:val="0"/>
      <w:marTop w:val="0"/>
      <w:marBottom w:val="0"/>
      <w:divBdr>
        <w:top w:val="none" w:sz="0" w:space="0" w:color="auto"/>
        <w:left w:val="none" w:sz="0" w:space="0" w:color="auto"/>
        <w:bottom w:val="none" w:sz="0" w:space="0" w:color="auto"/>
        <w:right w:val="none" w:sz="0" w:space="0" w:color="auto"/>
      </w:divBdr>
    </w:div>
    <w:div w:id="2125540271">
      <w:bodyDiv w:val="1"/>
      <w:marLeft w:val="0"/>
      <w:marRight w:val="0"/>
      <w:marTop w:val="0"/>
      <w:marBottom w:val="0"/>
      <w:divBdr>
        <w:top w:val="none" w:sz="0" w:space="0" w:color="auto"/>
        <w:left w:val="none" w:sz="0" w:space="0" w:color="auto"/>
        <w:bottom w:val="none" w:sz="0" w:space="0" w:color="auto"/>
        <w:right w:val="none" w:sz="0" w:space="0" w:color="auto"/>
      </w:divBdr>
    </w:div>
    <w:div w:id="2136945306">
      <w:bodyDiv w:val="1"/>
      <w:marLeft w:val="0"/>
      <w:marRight w:val="0"/>
      <w:marTop w:val="0"/>
      <w:marBottom w:val="0"/>
      <w:divBdr>
        <w:top w:val="none" w:sz="0" w:space="0" w:color="auto"/>
        <w:left w:val="none" w:sz="0" w:space="0" w:color="auto"/>
        <w:bottom w:val="none" w:sz="0" w:space="0" w:color="auto"/>
        <w:right w:val="none" w:sz="0" w:space="0" w:color="auto"/>
      </w:divBdr>
    </w:div>
    <w:div w:id="21415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cadewi@unj.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wahyuwastuti@unj.ac.id" TargetMode="External"/><Relationship Id="rId4" Type="http://schemas.openxmlformats.org/officeDocument/2006/relationships/settings" Target="settings.xml"/><Relationship Id="rId9" Type="http://schemas.openxmlformats.org/officeDocument/2006/relationships/hyperlink" Target="mailto:abuchdadi@unj.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025F1-4667-4193-9BCA-81BF381F1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15463</Words>
  <Characters>88144</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vina pebianti</cp:lastModifiedBy>
  <cp:revision>9</cp:revision>
  <cp:lastPrinted>2025-12-16T07:18:00Z</cp:lastPrinted>
  <dcterms:created xsi:type="dcterms:W3CDTF">2025-12-16T14:42:00Z</dcterms:created>
  <dcterms:modified xsi:type="dcterms:W3CDTF">2025-12-16T14:53:00Z</dcterms:modified>
</cp:coreProperties>
</file>